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Executive Summary</w:t>
      </w:r>
    </w:p>
    <w:p>
      <w:pPr>
        <w:spacing w:after="200"/>
        <w:jc w:val="center"/>
      </w:pPr>
      <w:r>
        <w:rPr>
          <w:b/>
          <w:bCs/>
          <w:color w:val="444444"/>
          <w:sz w:val="26"/>
          <w:szCs w:val="26"/>
        </w:rPr>
        <w:t xml:space="preserve">Sales Forecasting and Demand Intelligence System</w:t>
      </w:r>
    </w:p>
    <w:p>
      <w:pPr>
        <w:pBdr>
          <w:bottom w:val="single" w:color="AAAAAA" w:sz="6" w:space="1"/>
        </w:pBdr>
        <w:spacing w:after="200"/>
      </w:pPr>
    </w:p>
    <w:p>
      <w:pPr>
        <w:pStyle w:val="Heading1"/>
        <w:spacing w:after="120" w:before="200"/>
      </w:pPr>
      <w:r>
        <w:rPr>
          <w:b/>
          <w:bCs/>
          <w:color w:val="1F4E79"/>
          <w:sz w:val="30"/>
          <w:szCs w:val="30"/>
        </w:rPr>
        <w:t xml:space="preserve">Objective</w:t>
      </w:r>
    </w:p>
    <w:p>
      <w:pPr>
        <w:spacing w:after="120"/>
      </w:pPr>
      <w:r>
        <w:rPr>
          <w:sz w:val="21"/>
          <w:szCs w:val="21"/>
        </w:rPr>
        <w:t xml:space="preserve">The objective of this project was to analyze historical Superstore sales data and develop a machine learning–based demand forecasting system to support inventory planning and business decision-making.</w:t>
      </w:r>
    </w:p>
    <w:p>
      <w:pPr>
        <w:spacing w:after="120"/>
      </w:pPr>
      <w:r>
        <w:rPr>
          <w:sz w:val="21"/>
          <w:szCs w:val="21"/>
        </w:rPr>
        <w:t xml:space="preserve">The project involved:</w:t>
      </w:r>
    </w:p>
    <w:p>
      <w:pPr>
        <w:pStyle w:val="ListParagraph"/>
        <w:numPr>
          <w:ilvl w:val="0"/>
          <w:numId w:val="2"/>
        </w:numPr>
        <w:spacing w:after="60"/>
      </w:pPr>
      <w:r>
        <w:rPr>
          <w:sz w:val="21"/>
          <w:szCs w:val="21"/>
        </w:rPr>
        <w:t xml:space="preserve">Exploratory Data Analysis (EDA)</w:t>
      </w:r>
    </w:p>
    <w:p>
      <w:pPr>
        <w:pStyle w:val="ListParagraph"/>
        <w:numPr>
          <w:ilvl w:val="0"/>
          <w:numId w:val="2"/>
        </w:numPr>
        <w:spacing w:after="60"/>
      </w:pPr>
      <w:r>
        <w:rPr>
          <w:sz w:val="21"/>
          <w:szCs w:val="21"/>
        </w:rPr>
        <w:t xml:space="preserve">Time Series Forecasting</w:t>
      </w:r>
    </w:p>
    <w:p>
      <w:pPr>
        <w:pStyle w:val="ListParagraph"/>
        <w:numPr>
          <w:ilvl w:val="0"/>
          <w:numId w:val="2"/>
        </w:numPr>
        <w:spacing w:after="60"/>
      </w:pPr>
      <w:r>
        <w:rPr>
          <w:sz w:val="21"/>
          <w:szCs w:val="21"/>
        </w:rPr>
        <w:t xml:space="preserve">Anomaly Detection</w:t>
      </w:r>
    </w:p>
    <w:p>
      <w:pPr>
        <w:pStyle w:val="ListParagraph"/>
        <w:numPr>
          <w:ilvl w:val="0"/>
          <w:numId w:val="2"/>
        </w:numPr>
        <w:spacing w:after="60"/>
      </w:pPr>
      <w:r>
        <w:rPr>
          <w:sz w:val="21"/>
          <w:szCs w:val="21"/>
        </w:rPr>
        <w:t xml:space="preserve">Product Demand Segmentation</w:t>
      </w:r>
    </w:p>
    <w:p>
      <w:pPr>
        <w:pStyle w:val="ListParagraph"/>
        <w:numPr>
          <w:ilvl w:val="0"/>
          <w:numId w:val="2"/>
        </w:numPr>
        <w:spacing w:after="60"/>
      </w:pPr>
      <w:r>
        <w:rPr>
          <w:sz w:val="21"/>
          <w:szCs w:val="21"/>
        </w:rPr>
        <w:t xml:space="preserve">Interactive Streamlit Dashboard</w:t>
      </w:r>
    </w:p>
    <w:p>
      <w:pPr>
        <w:pStyle w:val="Heading1"/>
        <w:spacing w:after="120" w:before="200"/>
      </w:pPr>
      <w:r>
        <w:rPr>
          <w:b/>
          <w:bCs/>
          <w:color w:val="1F4E79"/>
          <w:sz w:val="30"/>
          <w:szCs w:val="30"/>
        </w:rPr>
        <w:t xml:space="preserve">Dataset</w:t>
      </w:r>
    </w:p>
    <w:p>
      <w:pPr>
        <w:pStyle w:val="ListParagraph"/>
        <w:numPr>
          <w:ilvl w:val="0"/>
          <w:numId w:val="2"/>
        </w:numPr>
        <w:spacing w:after="60"/>
      </w:pPr>
      <w:r>
        <w:rPr>
          <w:sz w:val="21"/>
          <w:szCs w:val="21"/>
        </w:rPr>
        <w:t xml:space="preserve">Dataset: Superstore Sales Dataset</w:t>
      </w:r>
    </w:p>
    <w:p>
      <w:pPr>
        <w:pStyle w:val="ListParagraph"/>
        <w:numPr>
          <w:ilvl w:val="0"/>
          <w:numId w:val="2"/>
        </w:numPr>
        <w:spacing w:after="60"/>
      </w:pPr>
      <w:r>
        <w:rPr>
          <w:sz w:val="21"/>
          <w:szCs w:val="21"/>
        </w:rPr>
        <w:t xml:space="preserve">Records: 9,800</w:t>
      </w:r>
    </w:p>
    <w:p>
      <w:pPr>
        <w:pStyle w:val="ListParagraph"/>
        <w:numPr>
          <w:ilvl w:val="0"/>
          <w:numId w:val="2"/>
        </w:numPr>
        <w:spacing w:after="60"/>
      </w:pPr>
      <w:r>
        <w:rPr>
          <w:sz w:val="21"/>
          <w:szCs w:val="21"/>
        </w:rPr>
        <w:t xml:space="preserve">Features: 18</w:t>
      </w:r>
    </w:p>
    <w:p>
      <w:pPr>
        <w:pStyle w:val="ListParagraph"/>
        <w:numPr>
          <w:ilvl w:val="0"/>
          <w:numId w:val="2"/>
        </w:numPr>
        <w:spacing w:after="60"/>
      </w:pPr>
      <w:r>
        <w:rPr>
          <w:sz w:val="21"/>
          <w:szCs w:val="21"/>
        </w:rPr>
        <w:t xml:space="preserve">Time Period: 2015–2018</w:t>
      </w:r>
    </w:p>
    <w:p>
      <w:pPr>
        <w:pStyle w:val="Heading1"/>
        <w:spacing w:after="120" w:before="200"/>
      </w:pPr>
      <w:r>
        <w:rPr>
          <w:b/>
          <w:bCs/>
          <w:color w:val="1F4E79"/>
          <w:sz w:val="30"/>
          <w:szCs w:val="30"/>
        </w:rPr>
        <w:t xml:space="preserve">Forecasting Models</w:t>
      </w:r>
    </w:p>
    <w:p>
      <w:pPr>
        <w:spacing w:after="120"/>
      </w:pPr>
      <w:r>
        <w:rPr>
          <w:sz w:val="21"/>
          <w:szCs w:val="21"/>
        </w:rPr>
        <w:t xml:space="preserve">Three forecasting models were implemented and evaluated:</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1F4E79" w:val="clear"/>
            <w:tcMar>
              <w:top w:type="dxa" w:w="80"/>
              <w:left w:type="dxa" w:w="100"/>
              <w:bottom w:type="dxa" w:w="80"/>
              <w:right w:type="dxa" w:w="100"/>
            </w:tcMar>
          </w:tcPr>
          <w:p>
            <w:pPr>
              <w:jc w:val="left"/>
            </w:pPr>
            <w:r>
              <w:rPr>
                <w:b/>
                <w:bCs/>
                <w:color w:val="FFFFFF"/>
                <w:sz w:val="20"/>
                <w:szCs w:val="20"/>
              </w:rPr>
              <w:t xml:space="preserve">Model</w:t>
            </w:r>
          </w:p>
        </w:tc>
        <w:tc>
          <w:tcPr>
            <w:tcW w:type="dxa" w:w="2000"/>
            <w:shd w:fill="1F4E79" w:val="clear"/>
            <w:tcMar>
              <w:top w:type="dxa" w:w="80"/>
              <w:left w:type="dxa" w:w="100"/>
              <w:bottom w:type="dxa" w:w="80"/>
              <w:right w:type="dxa" w:w="100"/>
            </w:tcMar>
          </w:tcPr>
          <w:p>
            <w:pPr>
              <w:jc w:val="center"/>
            </w:pPr>
            <w:r>
              <w:rPr>
                <w:b/>
                <w:bCs/>
                <w:color w:val="FFFFFF"/>
                <w:sz w:val="20"/>
                <w:szCs w:val="20"/>
              </w:rPr>
              <w:t xml:space="preserve">MAE</w:t>
            </w:r>
          </w:p>
        </w:tc>
        <w:tc>
          <w:tcPr>
            <w:tcW w:type="dxa" w:w="2000"/>
            <w:shd w:fill="1F4E79" w:val="clear"/>
            <w:tcMar>
              <w:top w:type="dxa" w:w="80"/>
              <w:left w:type="dxa" w:w="100"/>
              <w:bottom w:type="dxa" w:w="80"/>
              <w:right w:type="dxa" w:w="100"/>
            </w:tcMar>
          </w:tcPr>
          <w:p>
            <w:pPr>
              <w:jc w:val="center"/>
            </w:pPr>
            <w:r>
              <w:rPr>
                <w:b/>
                <w:bCs/>
                <w:color w:val="FFFFFF"/>
                <w:sz w:val="20"/>
                <w:szCs w:val="20"/>
              </w:rPr>
              <w:t xml:space="preserve">RMSE</w:t>
            </w:r>
          </w:p>
        </w:tc>
        <w:tc>
          <w:tcPr>
            <w:tcW w:type="dxa" w:w="2000"/>
            <w:shd w:fill="1F4E79" w:val="clear"/>
            <w:tcMar>
              <w:top w:type="dxa" w:w="80"/>
              <w:left w:type="dxa" w:w="100"/>
              <w:bottom w:type="dxa" w:w="80"/>
              <w:right w:type="dxa" w:w="100"/>
            </w:tcMar>
          </w:tcPr>
          <w:p>
            <w:pPr>
              <w:jc w:val="center"/>
            </w:pPr>
            <w:r>
              <w:rPr>
                <w:b/>
                <w:bCs/>
                <w:color w:val="FFFFFF"/>
                <w:sz w:val="20"/>
                <w:szCs w:val="20"/>
              </w:rPr>
              <w:t xml:space="preserve">MAPE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SARIMA</w:t>
            </w:r>
          </w:p>
        </w:tc>
        <w:tc>
          <w:tcPr>
            <w:tcW w:type="dxa" w:w="2000"/>
            <w:tcMar>
              <w:top w:type="dxa" w:w="80"/>
              <w:left w:type="dxa" w:w="100"/>
              <w:bottom w:type="dxa" w:w="80"/>
              <w:right w:type="dxa" w:w="100"/>
            </w:tcMar>
          </w:tcPr>
          <w:p>
            <w:pPr>
              <w:jc w:val="center"/>
            </w:pPr>
            <w:r>
              <w:rPr>
                <w:b w:val="false"/>
                <w:bCs w:val="false"/>
                <w:color w:val="000000"/>
                <w:sz w:val="20"/>
                <w:szCs w:val="20"/>
              </w:rPr>
              <w:t xml:space="preserve">18031.40</w:t>
            </w:r>
          </w:p>
        </w:tc>
        <w:tc>
          <w:tcPr>
            <w:tcW w:type="dxa" w:w="2000"/>
            <w:tcMar>
              <w:top w:type="dxa" w:w="80"/>
              <w:left w:type="dxa" w:w="100"/>
              <w:bottom w:type="dxa" w:w="80"/>
              <w:right w:type="dxa" w:w="100"/>
            </w:tcMar>
          </w:tcPr>
          <w:p>
            <w:pPr>
              <w:jc w:val="center"/>
            </w:pPr>
            <w:r>
              <w:rPr>
                <w:b w:val="false"/>
                <w:bCs w:val="false"/>
                <w:color w:val="000000"/>
                <w:sz w:val="20"/>
                <w:szCs w:val="20"/>
              </w:rPr>
              <w:t xml:space="preserve">19009.18</w:t>
            </w:r>
          </w:p>
        </w:tc>
        <w:tc>
          <w:tcPr>
            <w:tcW w:type="dxa" w:w="2000"/>
            <w:tcMar>
              <w:top w:type="dxa" w:w="80"/>
              <w:left w:type="dxa" w:w="100"/>
              <w:bottom w:type="dxa" w:w="80"/>
              <w:right w:type="dxa" w:w="100"/>
            </w:tcMar>
          </w:tcPr>
          <w:p>
            <w:pPr>
              <w:jc w:val="center"/>
            </w:pPr>
            <w:r>
              <w:rPr>
                <w:b w:val="false"/>
                <w:bCs w:val="false"/>
                <w:color w:val="000000"/>
                <w:sz w:val="20"/>
                <w:szCs w:val="20"/>
              </w:rPr>
              <w:t xml:space="preserve">0.19</w:t>
            </w:r>
          </w:p>
        </w:tc>
      </w:tr>
      <w:tr>
        <w:tc>
          <w:tcPr>
            <w:tcW w:type="dxa" w:w="3000"/>
            <w:shd w:fill="DCE6F1" w:val="clear"/>
            <w:tcMar>
              <w:top w:type="dxa" w:w="80"/>
              <w:left w:type="dxa" w:w="100"/>
              <w:bottom w:type="dxa" w:w="80"/>
              <w:right w:type="dxa" w:w="100"/>
            </w:tcMar>
          </w:tcPr>
          <w:p>
            <w:pPr>
              <w:jc w:val="left"/>
            </w:pPr>
            <w:r>
              <w:rPr>
                <w:b w:val="false"/>
                <w:bCs w:val="false"/>
                <w:color w:val="000000"/>
                <w:sz w:val="20"/>
                <w:szCs w:val="20"/>
              </w:rPr>
              <w:t xml:space="preserve">Prophet</w:t>
            </w:r>
          </w:p>
        </w:tc>
        <w:tc>
          <w:tcPr>
            <w:tcW w:type="dxa" w:w="2000"/>
            <w:shd w:fill="DCE6F1" w:val="clear"/>
            <w:tcMar>
              <w:top w:type="dxa" w:w="80"/>
              <w:left w:type="dxa" w:w="100"/>
              <w:bottom w:type="dxa" w:w="80"/>
              <w:right w:type="dxa" w:w="100"/>
            </w:tcMar>
          </w:tcPr>
          <w:p>
            <w:pPr>
              <w:jc w:val="center"/>
            </w:pPr>
            <w:r>
              <w:rPr>
                <w:b w:val="false"/>
                <w:bCs w:val="false"/>
                <w:color w:val="000000"/>
                <w:sz w:val="20"/>
                <w:szCs w:val="20"/>
              </w:rPr>
              <w:t xml:space="preserve">20250.79</w:t>
            </w:r>
          </w:p>
        </w:tc>
        <w:tc>
          <w:tcPr>
            <w:tcW w:type="dxa" w:w="2000"/>
            <w:shd w:fill="DCE6F1" w:val="clear"/>
            <w:tcMar>
              <w:top w:type="dxa" w:w="80"/>
              <w:left w:type="dxa" w:w="100"/>
              <w:bottom w:type="dxa" w:w="80"/>
              <w:right w:type="dxa" w:w="100"/>
            </w:tcMar>
          </w:tcPr>
          <w:p>
            <w:pPr>
              <w:jc w:val="center"/>
            </w:pPr>
            <w:r>
              <w:rPr>
                <w:b w:val="false"/>
                <w:bCs w:val="false"/>
                <w:color w:val="000000"/>
                <w:sz w:val="20"/>
                <w:szCs w:val="20"/>
              </w:rPr>
              <w:t xml:space="preserve">22318.41</w:t>
            </w:r>
          </w:p>
        </w:tc>
        <w:tc>
          <w:tcPr>
            <w:tcW w:type="dxa" w:w="2000"/>
            <w:shd w:fill="DCE6F1" w:val="clear"/>
            <w:tcMar>
              <w:top w:type="dxa" w:w="80"/>
              <w:left w:type="dxa" w:w="100"/>
              <w:bottom w:type="dxa" w:w="80"/>
              <w:right w:type="dxa" w:w="100"/>
            </w:tcMar>
          </w:tcPr>
          <w:p>
            <w:pPr>
              <w:jc w:val="center"/>
            </w:pPr>
            <w:r>
              <w:rPr>
                <w:b w:val="false"/>
                <w:bCs w:val="false"/>
                <w:color w:val="000000"/>
                <w:sz w:val="20"/>
                <w:szCs w:val="20"/>
              </w:rPr>
              <w:t xml:space="preserve">0.22</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XGBoost</w:t>
            </w:r>
          </w:p>
        </w:tc>
        <w:tc>
          <w:tcPr>
            <w:tcW w:type="dxa" w:w="2000"/>
            <w:tcMar>
              <w:top w:type="dxa" w:w="80"/>
              <w:left w:type="dxa" w:w="100"/>
              <w:bottom w:type="dxa" w:w="80"/>
              <w:right w:type="dxa" w:w="100"/>
            </w:tcMar>
          </w:tcPr>
          <w:p>
            <w:pPr>
              <w:jc w:val="center"/>
            </w:pPr>
            <w:r>
              <w:rPr>
                <w:b w:val="false"/>
                <w:bCs w:val="false"/>
                <w:color w:val="000000"/>
                <w:sz w:val="20"/>
                <w:szCs w:val="20"/>
              </w:rPr>
              <w:t xml:space="preserve">13915.32</w:t>
            </w:r>
          </w:p>
        </w:tc>
        <w:tc>
          <w:tcPr>
            <w:tcW w:type="dxa" w:w="2000"/>
            <w:tcMar>
              <w:top w:type="dxa" w:w="80"/>
              <w:left w:type="dxa" w:w="100"/>
              <w:bottom w:type="dxa" w:w="80"/>
              <w:right w:type="dxa" w:w="100"/>
            </w:tcMar>
          </w:tcPr>
          <w:p>
            <w:pPr>
              <w:jc w:val="center"/>
            </w:pPr>
            <w:r>
              <w:rPr>
                <w:b w:val="false"/>
                <w:bCs w:val="false"/>
                <w:color w:val="000000"/>
                <w:sz w:val="20"/>
                <w:szCs w:val="20"/>
              </w:rPr>
              <w:t xml:space="preserve">18893.85</w:t>
            </w:r>
          </w:p>
        </w:tc>
        <w:tc>
          <w:tcPr>
            <w:tcW w:type="dxa" w:w="2000"/>
            <w:tcMar>
              <w:top w:type="dxa" w:w="80"/>
              <w:left w:type="dxa" w:w="100"/>
              <w:bottom w:type="dxa" w:w="80"/>
              <w:right w:type="dxa" w:w="100"/>
            </w:tcMar>
          </w:tcPr>
          <w:p>
            <w:pPr>
              <w:jc w:val="center"/>
            </w:pPr>
            <w:r>
              <w:rPr>
                <w:b w:val="false"/>
                <w:bCs w:val="false"/>
                <w:color w:val="000000"/>
                <w:sz w:val="20"/>
                <w:szCs w:val="20"/>
              </w:rPr>
              <w:t xml:space="preserve">0.13</w:t>
            </w:r>
          </w:p>
        </w:tc>
      </w:tr>
    </w:tbl>
    <w:p>
      <w:pPr>
        <w:spacing w:after="60" w:before="150"/>
      </w:pPr>
      <w:r>
        <w:rPr>
          <w:b/>
          <w:bCs/>
          <w:sz w:val="21"/>
          <w:szCs w:val="21"/>
        </w:rPr>
        <w:t xml:space="preserve">Conclusion: </w:t>
      </w:r>
      <w:r>
        <w:rPr>
          <w:sz w:val="21"/>
          <w:szCs w:val="21"/>
        </w:rPr>
        <w:t xml:space="preserve">XGBoost achieved the lowest forecasting error and was selected as the final production model.</w:t>
      </w:r>
    </w:p>
    <w:p>
      <w:r>
        <w:br w:type="page"/>
      </w:r>
    </w:p>
    <w:p>
      <w:pPr>
        <w:pStyle w:val="Heading1"/>
        <w:spacing w:after="120" w:before="200"/>
      </w:pPr>
      <w:r>
        <w:rPr>
          <w:b/>
          <w:bCs/>
          <w:color w:val="1F4E79"/>
          <w:sz w:val="30"/>
          <w:szCs w:val="30"/>
        </w:rPr>
        <w:t xml:space="preserve">Anomaly Detection</w:t>
      </w:r>
    </w:p>
    <w:p>
      <w:pPr>
        <w:spacing w:after="120"/>
      </w:pPr>
      <w:r>
        <w:rPr>
          <w:sz w:val="21"/>
          <w:szCs w:val="21"/>
        </w:rPr>
        <w:t xml:space="preserve">Two techniques were applied:</w:t>
      </w:r>
    </w:p>
    <w:p>
      <w:pPr>
        <w:pStyle w:val="ListParagraph"/>
        <w:numPr>
          <w:ilvl w:val="0"/>
          <w:numId w:val="2"/>
        </w:numPr>
        <w:spacing w:after="60"/>
      </w:pPr>
      <w:r>
        <w:rPr>
          <w:sz w:val="21"/>
          <w:szCs w:val="21"/>
        </w:rPr>
        <w:t xml:space="preserve">Isolation Forest</w:t>
      </w:r>
    </w:p>
    <w:p>
      <w:pPr>
        <w:pStyle w:val="ListParagraph"/>
        <w:numPr>
          <w:ilvl w:val="0"/>
          <w:numId w:val="2"/>
        </w:numPr>
        <w:spacing w:after="60"/>
      </w:pPr>
      <w:r>
        <w:rPr>
          <w:sz w:val="21"/>
          <w:szCs w:val="21"/>
        </w:rPr>
        <w:t xml:space="preserve">Z-Score Method</w:t>
      </w:r>
    </w:p>
    <w:p>
      <w:pPr>
        <w:spacing w:after="120"/>
      </w:pPr>
      <w:r>
        <w:rPr>
          <w:b/>
          <w:bCs/>
          <w:sz w:val="21"/>
          <w:szCs w:val="21"/>
        </w:rPr>
        <w:t xml:space="preserve">Key observations:</w:t>
      </w:r>
    </w:p>
    <w:p>
      <w:pPr>
        <w:pStyle w:val="ListParagraph"/>
        <w:numPr>
          <w:ilvl w:val="0"/>
          <w:numId w:val="2"/>
        </w:numPr>
        <w:spacing w:after="60"/>
      </w:pPr>
      <w:r>
        <w:rPr>
          <w:sz w:val="21"/>
          <w:szCs w:val="21"/>
        </w:rPr>
        <w:t xml:space="preserve">High sales anomalies occurred primarily during late 2018.</w:t>
      </w:r>
    </w:p>
    <w:p>
      <w:pPr>
        <w:pStyle w:val="ListParagraph"/>
        <w:numPr>
          <w:ilvl w:val="0"/>
          <w:numId w:val="2"/>
        </w:numPr>
        <w:spacing w:after="60"/>
      </w:pPr>
      <w:r>
        <w:rPr>
          <w:sz w:val="21"/>
          <w:szCs w:val="21"/>
        </w:rPr>
        <w:t xml:space="preserve">Isolation Forest detected both unusually high and low sales.</w:t>
      </w:r>
    </w:p>
    <w:p>
      <w:pPr>
        <w:pStyle w:val="ListParagraph"/>
        <w:numPr>
          <w:ilvl w:val="0"/>
          <w:numId w:val="2"/>
        </w:numPr>
        <w:spacing w:after="60"/>
      </w:pPr>
      <w:r>
        <w:rPr>
          <w:sz w:val="21"/>
          <w:szCs w:val="21"/>
        </w:rPr>
        <w:t xml:space="preserve">Z-Score mainly identified exceptionally high sales weeks.</w:t>
      </w:r>
    </w:p>
    <w:p>
      <w:pPr>
        <w:spacing w:after="120"/>
      </w:pPr>
      <w:r>
        <w:rPr>
          <w:sz w:val="21"/>
          <w:szCs w:val="21"/>
        </w:rPr>
        <w:t xml:space="preserve">These anomalies likely correspond to seasonal demand, promotional campaigns, or holiday sales.</w:t>
      </w:r>
    </w:p>
    <w:p>
      <w:pPr>
        <w:pStyle w:val="Heading1"/>
        <w:spacing w:after="120" w:before="200"/>
      </w:pPr>
      <w:r>
        <w:rPr>
          <w:b/>
          <w:bCs/>
          <w:color w:val="1F4E79"/>
          <w:sz w:val="30"/>
          <w:szCs w:val="30"/>
        </w:rPr>
        <w:t xml:space="preserve">Product Demand Segmentation</w:t>
      </w:r>
    </w:p>
    <w:p>
      <w:pPr>
        <w:spacing w:after="120"/>
      </w:pPr>
      <w:r>
        <w:rPr>
          <w:sz w:val="21"/>
          <w:szCs w:val="21"/>
        </w:rPr>
        <w:t xml:space="preserve">K-Means clustering divided products into four demand groups: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Mar>
              <w:top w:type="dxa" w:w="80"/>
              <w:left w:type="dxa" w:w="100"/>
              <w:bottom w:type="dxa" w:w="80"/>
              <w:right w:type="dxa" w:w="100"/>
            </w:tcMar>
          </w:tcPr>
          <w:p>
            <w:pPr>
              <w:jc w:val="left"/>
            </w:pPr>
            <w:r>
              <w:rPr>
                <w:b/>
                <w:bCs/>
                <w:color w:val="FFFFFF"/>
                <w:sz w:val="20"/>
                <w:szCs w:val="20"/>
              </w:rPr>
              <w:t xml:space="preserve">Segment</w:t>
            </w:r>
          </w:p>
        </w:tc>
        <w:tc>
          <w:tcPr>
            <w:tcW w:type="dxa" w:w="6000"/>
            <w:shd w:fill="1F4E79"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High Growth Premium Products</w:t>
            </w:r>
          </w:p>
        </w:tc>
        <w:tc>
          <w:tcPr>
            <w:tcW w:type="dxa" w:w="6000"/>
            <w:tcMar>
              <w:top w:type="dxa" w:w="80"/>
              <w:left w:type="dxa" w:w="100"/>
              <w:bottom w:type="dxa" w:w="80"/>
              <w:right w:type="dxa" w:w="100"/>
            </w:tcMar>
          </w:tcPr>
          <w:p>
            <w:pPr>
              <w:jc w:val="left"/>
            </w:pPr>
            <w:r>
              <w:rPr>
                <w:b w:val="false"/>
                <w:bCs w:val="false"/>
                <w:color w:val="000000"/>
                <w:sz w:val="20"/>
                <w:szCs w:val="20"/>
              </w:rPr>
              <w:t xml:space="preserve">High growth and high-value products requiring increased inventory.</w:t>
            </w:r>
          </w:p>
        </w:tc>
      </w:tr>
      <w:tr>
        <w:tc>
          <w:tcPr>
            <w:tcW w:type="dxa" w:w="3000"/>
            <w:shd w:fill="DCE6F1" w:val="clear"/>
            <w:tcMar>
              <w:top w:type="dxa" w:w="80"/>
              <w:left w:type="dxa" w:w="100"/>
              <w:bottom w:type="dxa" w:w="80"/>
              <w:right w:type="dxa" w:w="100"/>
            </w:tcMar>
          </w:tcPr>
          <w:p>
            <w:pPr>
              <w:jc w:val="left"/>
            </w:pPr>
            <w:r>
              <w:rPr>
                <w:b w:val="false"/>
                <w:bCs w:val="false"/>
                <w:color w:val="000000"/>
                <w:sz w:val="20"/>
                <w:szCs w:val="20"/>
              </w:rPr>
              <w:t xml:space="preserve">High Volume Stable Demand</w:t>
            </w:r>
          </w:p>
        </w:tc>
        <w:tc>
          <w:tcPr>
            <w:tcW w:type="dxa" w:w="6000"/>
            <w:shd w:fill="DCE6F1" w:val="clear"/>
            <w:tcMar>
              <w:top w:type="dxa" w:w="80"/>
              <w:left w:type="dxa" w:w="100"/>
              <w:bottom w:type="dxa" w:w="80"/>
              <w:right w:type="dxa" w:w="100"/>
            </w:tcMar>
          </w:tcPr>
          <w:p>
            <w:pPr>
              <w:jc w:val="left"/>
            </w:pPr>
            <w:r>
              <w:rPr>
                <w:b w:val="false"/>
                <w:bCs w:val="false"/>
                <w:color w:val="000000"/>
                <w:sz w:val="20"/>
                <w:szCs w:val="20"/>
              </w:rPr>
              <w:t xml:space="preserve">Core revenue-generating products with consistent demand.</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Low Volume Regular Demand</w:t>
            </w:r>
          </w:p>
        </w:tc>
        <w:tc>
          <w:tcPr>
            <w:tcW w:type="dxa" w:w="6000"/>
            <w:tcMar>
              <w:top w:type="dxa" w:w="80"/>
              <w:left w:type="dxa" w:w="100"/>
              <w:bottom w:type="dxa" w:w="80"/>
              <w:right w:type="dxa" w:w="100"/>
            </w:tcMar>
          </w:tcPr>
          <w:p>
            <w:pPr>
              <w:jc w:val="left"/>
            </w:pPr>
            <w:r>
              <w:rPr>
                <w:b w:val="false"/>
                <w:bCs w:val="false"/>
                <w:color w:val="000000"/>
                <w:sz w:val="20"/>
                <w:szCs w:val="20"/>
              </w:rPr>
              <w:t xml:space="preserve">Products with lower sales requiring optimized stock levels.</w:t>
            </w:r>
          </w:p>
        </w:tc>
      </w:tr>
      <w:tr>
        <w:tc>
          <w:tcPr>
            <w:tcW w:type="dxa" w:w="3000"/>
            <w:shd w:fill="DCE6F1" w:val="clear"/>
            <w:tcMar>
              <w:top w:type="dxa" w:w="80"/>
              <w:left w:type="dxa" w:w="100"/>
              <w:bottom w:type="dxa" w:w="80"/>
              <w:right w:type="dxa" w:w="100"/>
            </w:tcMar>
          </w:tcPr>
          <w:p>
            <w:pPr>
              <w:jc w:val="left"/>
            </w:pPr>
            <w:r>
              <w:rPr>
                <w:b w:val="false"/>
                <w:bCs w:val="false"/>
                <w:color w:val="000000"/>
                <w:sz w:val="20"/>
                <w:szCs w:val="20"/>
              </w:rPr>
              <w:t xml:space="preserve">Declining Premium Products</w:t>
            </w:r>
          </w:p>
        </w:tc>
        <w:tc>
          <w:tcPr>
            <w:tcW w:type="dxa" w:w="6000"/>
            <w:shd w:fill="DCE6F1" w:val="clear"/>
            <w:tcMar>
              <w:top w:type="dxa" w:w="80"/>
              <w:left w:type="dxa" w:w="100"/>
              <w:bottom w:type="dxa" w:w="80"/>
              <w:right w:type="dxa" w:w="100"/>
            </w:tcMar>
          </w:tcPr>
          <w:p>
            <w:pPr>
              <w:jc w:val="left"/>
            </w:pPr>
            <w:r>
              <w:rPr>
                <w:b w:val="false"/>
                <w:bCs w:val="false"/>
                <w:color w:val="000000"/>
                <w:sz w:val="20"/>
                <w:szCs w:val="20"/>
              </w:rPr>
              <w:t xml:space="preserve">High-value products with declining demand requiring careful inventory management.</w:t>
            </w:r>
          </w:p>
        </w:tc>
      </w:tr>
    </w:tbl>
    <w:p>
      <w:pPr>
        <w:pStyle w:val="Heading1"/>
        <w:spacing w:after="120" w:before="200"/>
      </w:pPr>
      <w:r>
        <w:rPr>
          <w:b/>
          <w:bCs/>
          <w:color w:val="1F4E79"/>
          <w:sz w:val="30"/>
          <w:szCs w:val="30"/>
        </w:rPr>
        <w:t xml:space="preserve">Business Recommendations</w:t>
      </w:r>
    </w:p>
    <w:p>
      <w:pPr>
        <w:pStyle w:val="ListParagraph"/>
        <w:numPr>
          <w:ilvl w:val="0"/>
          <w:numId w:val="2"/>
        </w:numPr>
        <w:spacing w:after="60"/>
      </w:pPr>
      <w:r>
        <w:rPr>
          <w:sz w:val="21"/>
          <w:szCs w:val="21"/>
        </w:rPr>
        <w:t xml:space="preserve">Continue using XGBoost for sales forecasting.</w:t>
      </w:r>
    </w:p>
    <w:p>
      <w:pPr>
        <w:pStyle w:val="ListParagraph"/>
        <w:numPr>
          <w:ilvl w:val="0"/>
          <w:numId w:val="2"/>
        </w:numPr>
        <w:spacing w:after="60"/>
      </w:pPr>
      <w:r>
        <w:rPr>
          <w:sz w:val="21"/>
          <w:szCs w:val="21"/>
        </w:rPr>
        <w:t xml:space="preserve">Increase inventory for high-growth premium products.</w:t>
      </w:r>
    </w:p>
    <w:p>
      <w:pPr>
        <w:pStyle w:val="ListParagraph"/>
        <w:numPr>
          <w:ilvl w:val="0"/>
          <w:numId w:val="2"/>
        </w:numPr>
        <w:spacing w:after="60"/>
      </w:pPr>
      <w:r>
        <w:rPr>
          <w:sz w:val="21"/>
          <w:szCs w:val="21"/>
        </w:rPr>
        <w:t xml:space="preserve">Maintain stable stock for high-volume products.</w:t>
      </w:r>
    </w:p>
    <w:p>
      <w:pPr>
        <w:pStyle w:val="ListParagraph"/>
        <w:numPr>
          <w:ilvl w:val="0"/>
          <w:numId w:val="2"/>
        </w:numPr>
        <w:spacing w:after="60"/>
      </w:pPr>
      <w:r>
        <w:rPr>
          <w:sz w:val="21"/>
          <w:szCs w:val="21"/>
        </w:rPr>
        <w:t xml:space="preserve">Monitor anomalies to identify future promotional opportunities.</w:t>
      </w:r>
    </w:p>
    <w:p>
      <w:pPr>
        <w:pStyle w:val="ListParagraph"/>
        <w:numPr>
          <w:ilvl w:val="0"/>
          <w:numId w:val="2"/>
        </w:numPr>
        <w:spacing w:after="60"/>
      </w:pPr>
      <w:r>
        <w:rPr>
          <w:sz w:val="21"/>
          <w:szCs w:val="21"/>
        </w:rPr>
        <w:t xml:space="preserve">Reduce excess inventory for declining products.</w:t>
      </w:r>
    </w:p>
    <w:p>
      <w:pPr>
        <w:pStyle w:val="ListParagraph"/>
        <w:numPr>
          <w:ilvl w:val="0"/>
          <w:numId w:val="2"/>
        </w:numPr>
        <w:spacing w:after="60"/>
      </w:pPr>
      <w:r>
        <w:rPr>
          <w:sz w:val="21"/>
          <w:szCs w:val="21"/>
        </w:rPr>
        <w:t xml:space="preserve">Use the Streamlit dashboard for continuous sales monitoring and decision support.</w:t>
      </w:r>
    </w:p>
    <w:p>
      <w:pPr>
        <w:pStyle w:val="Heading1"/>
        <w:spacing w:after="120" w:before="200"/>
      </w:pPr>
      <w:r>
        <w:rPr>
          <w:b/>
          <w:bCs/>
          <w:color w:val="1F4E79"/>
          <w:sz w:val="30"/>
          <w:szCs w:val="30"/>
        </w:rPr>
        <w:t xml:space="preserve">Conclusion</w:t>
      </w:r>
    </w:p>
    <w:p>
      <w:pPr>
        <w:spacing w:after="120"/>
      </w:pPr>
      <w:r>
        <w:rPr>
          <w:sz w:val="21"/>
          <w:szCs w:val="21"/>
        </w:rPr>
        <w:t xml:space="preserve">The project successfully demonstrates how machine learning techniques can improve demand forecasting, anomaly detection, and inventory planning. The developed Streamlit dashboard provides an interactive interface for exploring sales trends and supporting business decisions.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2026-07-08T22:16:38.956Z</dcterms:created>
  <dcterms:modified xsi:type="dcterms:W3CDTF">2026-07-08T22:16:38.980Z</dcterms:modified>
</cp:coreProperties>
</file>

<file path=docProps/custom.xml><?xml version="1.0" encoding="utf-8"?>
<Properties xmlns="http://schemas.openxmlformats.org/officeDocument/2006/custom-properties" xmlns:vt="http://schemas.openxmlformats.org/officeDocument/2006/docPropsVTypes"/>
</file>