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das dsa das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>${</w:t>
      </w:r>
      <w:proofErr w:type="spellStart"/>
      <w:r w:rsidR="001169AD">
        <w:rPr>
          <w:rFonts w:ascii="Arial" w:eastAsia="Arial" w:hAnsi="Arial"/>
          <w:sz w:val="18"/>
          <w:lang w:val="es-MX"/>
        </w:rPr>
        <w:t>115q0254</w:t>
      </w:r>
      <w:proofErr w:type="spellEnd"/>
      <w:r w:rsidR="001169AD">
        <w:rPr>
          <w:rFonts w:ascii="Arial" w:eastAsia="Arial" w:hAnsi="Arial"/>
          <w:sz w:val="18"/>
          <w:lang w:val="es-MX"/>
        </w:rPr>
        <w:t>}</w:t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Sistema Residencias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Ing. en Sistemas Computacionales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Agosto - Diciembre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