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83" w:lineRule="auto"/>
        <w:jc w:val="left"/>
      </w:pPr>
      <w:r>
        <w:rPr>
          <w:rFonts w:ascii="Arial" w:hAnsi="Arial"/>
          <w:b/>
          <w:i w:val="0"/>
          <w:color w:val="3157D5"/>
          <w:sz w:val="20"/>
        </w:rPr>
        <w:t>FAMILY COURSE SYLLABUS</w:t>
      </w:r>
    </w:p>
    <w:p>
      <w:pPr>
        <w:keepNext/>
        <w:spacing w:before="0" w:after="40" w:line="283" w:lineRule="auto"/>
        <w:jc w:val="left"/>
      </w:pPr>
      <w:r>
        <w:rPr>
          <w:rFonts w:ascii="Arial" w:hAnsi="Arial"/>
          <w:b/>
          <w:i w:val="0"/>
          <w:color w:val="172A46"/>
          <w:sz w:val="50"/>
        </w:rPr>
        <w:t>Competitive VEX IQ: Level Up</w:t>
      </w:r>
    </w:p>
    <w:p>
      <w:pPr>
        <w:keepNext w:val="0"/>
        <w:spacing w:before="0" w:after="240" w:line="283" w:lineRule="auto"/>
        <w:jc w:val="left"/>
      </w:pPr>
      <w:r>
        <w:rPr>
          <w:rFonts w:ascii="Arial" w:hAnsi="Arial"/>
          <w:b/>
          <w:i w:val="0"/>
          <w:color w:val="5C6775"/>
          <w:sz w:val="23"/>
        </w:rPr>
        <w:t>2026-27 | Mary R. Stauffer Middle School | Teacher: Ms. Lang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6FA"/>
          </w:tcPr>
          <w:p>
            <w:pPr>
              <w:spacing w:after="0" w:line="276" w:lineRule="auto"/>
            </w:pPr>
            <w:r>
              <w:rPr>
                <w:rFonts w:ascii="Arial" w:hAnsi="Arial"/>
                <w:b/>
                <w:i w:val="0"/>
                <w:color w:val="3157D5"/>
                <w:sz w:val="21"/>
              </w:rPr>
              <w:t xml:space="preserve">OUR COURSE PROMISE  </w:t>
            </w:r>
            <w:r>
              <w:rPr>
                <w:rFonts w:ascii="Arial" w:hAnsi="Arial"/>
                <w:b w:val="0"/>
                <w:i w:val="0"/>
                <w:color w:val="18202A"/>
                <w:sz w:val="21"/>
              </w:rPr>
              <w:t>Build boldly. Compete kindly. Students learn engineering by designing, testing, documenting, and improving together.</w:t>
            </w:r>
          </w:p>
        </w:tc>
      </w:tr>
    </w:tbl>
    <w:p>
      <w:pPr>
        <w:keepNext w:val="0"/>
        <w:spacing w:before="0" w:after="40" w:line="283" w:lineRule="auto"/>
        <w:jc w:val="left"/>
      </w:pPr>
      <w:r>
        <w:rPr>
          <w:rFonts w:ascii="Arial" w:hAnsi="Arial"/>
          <w:b w:val="0"/>
          <w:i w:val="0"/>
          <w:color w:val="18202A"/>
          <w:sz w:val="4"/>
        </w:rPr>
      </w:r>
    </w:p>
    <w:p>
      <w:pPr>
        <w:pStyle w:val="Heading1"/>
        <w:keepNext/>
        <w:spacing w:before="280" w:after="140"/>
      </w:pPr>
      <w:r>
        <w:rPr>
          <w:rFonts w:ascii="Arial" w:hAnsi="Arial"/>
          <w:b/>
          <w:i w:val="0"/>
          <w:color w:val="3157D5"/>
          <w:sz w:val="32"/>
        </w:rPr>
        <w:t>Welcome, families</w:t>
      </w:r>
    </w:p>
    <w:p>
      <w:pPr>
        <w:keepNext w:val="0"/>
        <w:spacing w:before="0" w:after="120" w:line="283" w:lineRule="auto"/>
        <w:jc w:val="left"/>
      </w:pPr>
      <w:r>
        <w:rPr>
          <w:rFonts w:ascii="Arial" w:hAnsi="Arial"/>
          <w:b w:val="0"/>
          <w:i w:val="0"/>
          <w:color w:val="18202A"/>
          <w:sz w:val="22"/>
        </w:rPr>
        <w:t>This year-long elective uses the VEX IQ Robotics Competition game Level Up as an authentic engineering challenge. The course follows the official VEX Robotics competition pathway administered by the Global Robotics &amp; Science Foundation. Students will build mechanisms, program robots, practice driving, analyze data, communicate design decisions, and maintain an engineering notebook. Competition gives the work a real audience; thoughtful evidence makes the learning visible.</w:t>
      </w:r>
    </w:p>
    <w:p>
      <w:pPr>
        <w:pStyle w:val="Heading1"/>
        <w:keepNext/>
        <w:spacing w:before="280" w:after="140"/>
      </w:pPr>
      <w:r>
        <w:rPr>
          <w:rFonts w:ascii="Arial" w:hAnsi="Arial"/>
          <w:b/>
          <w:i w:val="0"/>
          <w:color w:val="3157D5"/>
          <w:sz w:val="32"/>
        </w:rPr>
        <w:t>A typical week</w:t>
      </w:r>
    </w:p>
    <w:tbl>
      <w:tblPr>
        <w:tblW w:type="dxa" w:w="9360"/>
        <w:jc w:val="left"/>
        <w:tblLayout w:type="fixed"/>
        <w:tblLook w:firstColumn="1" w:firstRow="1" w:lastColumn="0" w:lastRow="0" w:noHBand="0" w:noVBand="1" w:val="04A0"/>
        <w:tblInd w:w="120" w:type="dxa"/>
      </w:tblPr>
      <w:tblGrid>
        <w:gridCol w:w="1700"/>
        <w:gridCol w:w="1250"/>
        <w:gridCol w:w="2150"/>
        <w:gridCol w:w="4260"/>
      </w:tblGrid>
      <w:tr>
        <w:trPr>
          <w:tblHeader/>
        </w:trPr>
        <w:tc>
          <w:tcPr>
            <w:tcW w:type="dxa" w:w="1700"/>
            <w:shd w:fill="172A46"/>
            <w:tcMar>
              <w:top w:w="100" w:type="dxa"/>
              <w:start w:w="120" w:type="dxa"/>
              <w:bottom w:w="100" w:type="dxa"/>
              <w:end w:w="120" w:type="dxa"/>
            </w:tcMar>
            <w:vAlign w:val="center"/>
          </w:tcPr>
          <w:p>
            <w:r>
              <w:rPr>
                <w:rFonts w:ascii="Arial" w:hAnsi="Arial"/>
                <w:b/>
                <w:i w:val="0"/>
                <w:color w:val="FFFFFF"/>
                <w:sz w:val="19"/>
              </w:rPr>
              <w:t>Day</w:t>
            </w:r>
          </w:p>
        </w:tc>
        <w:tc>
          <w:tcPr>
            <w:tcW w:type="dxa" w:w="1250"/>
            <w:shd w:fill="172A46"/>
            <w:tcMar>
              <w:top w:w="100" w:type="dxa"/>
              <w:start w:w="120" w:type="dxa"/>
              <w:bottom w:w="100" w:type="dxa"/>
              <w:end w:w="120" w:type="dxa"/>
            </w:tcMar>
            <w:vAlign w:val="center"/>
          </w:tcPr>
          <w:p>
            <w:r>
              <w:rPr>
                <w:rFonts w:ascii="Arial" w:hAnsi="Arial"/>
                <w:b/>
                <w:i w:val="0"/>
                <w:color w:val="FFFFFF"/>
                <w:sz w:val="19"/>
              </w:rPr>
              <w:t>Time</w:t>
            </w:r>
          </w:p>
        </w:tc>
        <w:tc>
          <w:tcPr>
            <w:tcW w:type="dxa" w:w="2150"/>
            <w:shd w:fill="172A46"/>
            <w:tcMar>
              <w:top w:w="100" w:type="dxa"/>
              <w:start w:w="120" w:type="dxa"/>
              <w:bottom w:w="100" w:type="dxa"/>
              <w:end w:w="120" w:type="dxa"/>
            </w:tcMar>
            <w:vAlign w:val="center"/>
          </w:tcPr>
          <w:p>
            <w:r>
              <w:rPr>
                <w:rFonts w:ascii="Arial" w:hAnsi="Arial"/>
                <w:b/>
                <w:i w:val="0"/>
                <w:color w:val="FFFFFF"/>
                <w:sz w:val="19"/>
              </w:rPr>
              <w:t>Focus</w:t>
            </w:r>
          </w:p>
        </w:tc>
        <w:tc>
          <w:tcPr>
            <w:tcW w:type="dxa" w:w="4260"/>
            <w:shd w:fill="172A46"/>
            <w:tcMar>
              <w:top w:w="100" w:type="dxa"/>
              <w:start w:w="120" w:type="dxa"/>
              <w:bottom w:w="100" w:type="dxa"/>
              <w:end w:w="120" w:type="dxa"/>
            </w:tcMar>
            <w:vAlign w:val="center"/>
          </w:tcPr>
          <w:p>
            <w:r>
              <w:rPr>
                <w:rFonts w:ascii="Arial" w:hAnsi="Arial"/>
                <w:b/>
                <w:i w:val="0"/>
                <w:color w:val="FFFFFF"/>
                <w:sz w:val="19"/>
              </w:rPr>
              <w:t>What students do</w:t>
            </w:r>
          </w:p>
        </w:tc>
      </w:tr>
      <w:tr>
        <w:tc>
          <w:tcPr>
            <w:tcW w:type="dxa" w:w="1700"/>
            <w:shd w:fill="FFF8D6"/>
            <w:tcMar>
              <w:top w:w="100" w:type="dxa"/>
              <w:start w:w="120" w:type="dxa"/>
              <w:bottom w:w="100" w:type="dxa"/>
              <w:end w:w="120" w:type="dxa"/>
            </w:tcMar>
            <w:vAlign w:val="center"/>
          </w:tcPr>
          <w:p>
            <w:r>
              <w:rPr>
                <w:rFonts w:ascii="Arial" w:hAnsi="Arial"/>
                <w:b/>
                <w:i w:val="0"/>
                <w:color w:val="172A46"/>
                <w:sz w:val="18"/>
              </w:rPr>
              <w:t>MONDAY</w:t>
            </w:r>
          </w:p>
        </w:tc>
        <w:tc>
          <w:tcPr>
            <w:tcW w:type="dxa" w:w="1250"/>
            <w:tcMar>
              <w:top w:w="100" w:type="dxa"/>
              <w:start w:w="120" w:type="dxa"/>
              <w:bottom w:w="100" w:type="dxa"/>
              <w:end w:w="120" w:type="dxa"/>
            </w:tcMar>
            <w:vAlign w:val="center"/>
          </w:tcPr>
          <w:p>
            <w:r>
              <w:rPr>
                <w:rFonts w:ascii="Arial" w:hAnsi="Arial"/>
                <w:b w:val="0"/>
                <w:i w:val="0"/>
                <w:color w:val="18202A"/>
                <w:sz w:val="18"/>
              </w:rPr>
              <w:t>47-52 min</w:t>
            </w:r>
          </w:p>
        </w:tc>
        <w:tc>
          <w:tcPr>
            <w:tcW w:type="dxa" w:w="2150"/>
            <w:tcMar>
              <w:top w:w="100" w:type="dxa"/>
              <w:start w:w="120" w:type="dxa"/>
              <w:bottom w:w="100" w:type="dxa"/>
              <w:end w:w="120" w:type="dxa"/>
            </w:tcMar>
            <w:vAlign w:val="center"/>
          </w:tcPr>
          <w:p>
            <w:r>
              <w:rPr>
                <w:rFonts w:ascii="Arial" w:hAnsi="Arial"/>
                <w:b/>
                <w:i w:val="0"/>
                <w:color w:val="172A46"/>
                <w:sz w:val="18"/>
              </w:rPr>
              <w:t>Learn + launch</w:t>
            </w:r>
          </w:p>
        </w:tc>
        <w:tc>
          <w:tcPr>
            <w:tcW w:type="dxa" w:w="4260"/>
            <w:tcMar>
              <w:top w:w="100" w:type="dxa"/>
              <w:start w:w="120" w:type="dxa"/>
              <w:bottom w:w="100" w:type="dxa"/>
              <w:end w:w="120" w:type="dxa"/>
            </w:tcMar>
            <w:vAlign w:val="center"/>
          </w:tcPr>
          <w:p>
            <w:r>
              <w:rPr>
                <w:rFonts w:ascii="Arial" w:hAnsi="Arial"/>
                <w:b w:val="0"/>
                <w:i w:val="0"/>
                <w:color w:val="18202A"/>
                <w:sz w:val="18"/>
              </w:rPr>
              <w:t>Direct instruction, teacher demonstrations, safety, and the week's engineering target.</w:t>
            </w:r>
          </w:p>
        </w:tc>
      </w:tr>
      <w:tr>
        <w:tc>
          <w:tcPr>
            <w:tcW w:type="dxa" w:w="1700"/>
            <w:shd w:fill="FFF8D6"/>
            <w:tcMar>
              <w:top w:w="100" w:type="dxa"/>
              <w:start w:w="120" w:type="dxa"/>
              <w:bottom w:w="100" w:type="dxa"/>
              <w:end w:w="120" w:type="dxa"/>
            </w:tcMar>
            <w:vAlign w:val="center"/>
          </w:tcPr>
          <w:p>
            <w:r>
              <w:rPr>
                <w:rFonts w:ascii="Arial" w:hAnsi="Arial"/>
                <w:b/>
                <w:i w:val="0"/>
                <w:color w:val="172A46"/>
                <w:sz w:val="18"/>
              </w:rPr>
              <w:t>WEDNESDAY</w:t>
            </w:r>
          </w:p>
        </w:tc>
        <w:tc>
          <w:tcPr>
            <w:tcW w:type="dxa" w:w="1250"/>
            <w:tcMar>
              <w:top w:w="100" w:type="dxa"/>
              <w:start w:w="120" w:type="dxa"/>
              <w:bottom w:w="100" w:type="dxa"/>
              <w:end w:w="120" w:type="dxa"/>
            </w:tcMar>
            <w:vAlign w:val="center"/>
          </w:tcPr>
          <w:p>
            <w:r>
              <w:rPr>
                <w:rFonts w:ascii="Arial" w:hAnsi="Arial"/>
                <w:b w:val="0"/>
                <w:i w:val="0"/>
                <w:color w:val="18202A"/>
                <w:sz w:val="18"/>
              </w:rPr>
              <w:t>80-81 min</w:t>
            </w:r>
          </w:p>
        </w:tc>
        <w:tc>
          <w:tcPr>
            <w:tcW w:type="dxa" w:w="2150"/>
            <w:tcMar>
              <w:top w:w="100" w:type="dxa"/>
              <w:start w:w="120" w:type="dxa"/>
              <w:bottom w:w="100" w:type="dxa"/>
              <w:end w:w="120" w:type="dxa"/>
            </w:tcMar>
            <w:vAlign w:val="center"/>
          </w:tcPr>
          <w:p>
            <w:r>
              <w:rPr>
                <w:rFonts w:ascii="Arial" w:hAnsi="Arial"/>
                <w:b/>
                <w:i w:val="0"/>
                <w:color w:val="172A46"/>
                <w:sz w:val="18"/>
              </w:rPr>
              <w:t>VEX IQ STEM Lab</w:t>
            </w:r>
          </w:p>
        </w:tc>
        <w:tc>
          <w:tcPr>
            <w:tcW w:type="dxa" w:w="4260"/>
            <w:tcMar>
              <w:top w:w="100" w:type="dxa"/>
              <w:start w:w="120" w:type="dxa"/>
              <w:bottom w:w="100" w:type="dxa"/>
              <w:end w:w="120" w:type="dxa"/>
            </w:tcMar>
            <w:vAlign w:val="center"/>
          </w:tcPr>
          <w:p>
            <w:r>
              <w:rPr>
                <w:rFonts w:ascii="Arial" w:hAnsi="Arial"/>
                <w:b w:val="0"/>
                <w:i w:val="0"/>
                <w:color w:val="18202A"/>
                <w:sz w:val="18"/>
              </w:rPr>
              <w:t>Teams build, code, test, and document an official VEX IQ STEM Lab activity.</w:t>
            </w:r>
          </w:p>
        </w:tc>
      </w:tr>
      <w:tr>
        <w:tc>
          <w:tcPr>
            <w:tcW w:type="dxa" w:w="1700"/>
            <w:shd w:fill="FFF8D6"/>
            <w:tcMar>
              <w:top w:w="100" w:type="dxa"/>
              <w:start w:w="120" w:type="dxa"/>
              <w:bottom w:w="100" w:type="dxa"/>
              <w:end w:w="120" w:type="dxa"/>
            </w:tcMar>
            <w:vAlign w:val="center"/>
          </w:tcPr>
          <w:p>
            <w:r>
              <w:rPr>
                <w:rFonts w:ascii="Arial" w:hAnsi="Arial"/>
                <w:b/>
                <w:i w:val="0"/>
                <w:color w:val="172A46"/>
                <w:sz w:val="18"/>
              </w:rPr>
              <w:t>FRIDAY</w:t>
            </w:r>
          </w:p>
        </w:tc>
        <w:tc>
          <w:tcPr>
            <w:tcW w:type="dxa" w:w="1250"/>
            <w:tcMar>
              <w:top w:w="100" w:type="dxa"/>
              <w:start w:w="120" w:type="dxa"/>
              <w:bottom w:w="100" w:type="dxa"/>
              <w:end w:w="120" w:type="dxa"/>
            </w:tcMar>
            <w:vAlign w:val="center"/>
          </w:tcPr>
          <w:p>
            <w:r>
              <w:rPr>
                <w:rFonts w:ascii="Arial" w:hAnsi="Arial"/>
                <w:b w:val="0"/>
                <w:i w:val="0"/>
                <w:color w:val="18202A"/>
                <w:sz w:val="18"/>
              </w:rPr>
              <w:t>80-81 min</w:t>
            </w:r>
          </w:p>
        </w:tc>
        <w:tc>
          <w:tcPr>
            <w:tcW w:type="dxa" w:w="2150"/>
            <w:tcMar>
              <w:top w:w="100" w:type="dxa"/>
              <w:start w:w="120" w:type="dxa"/>
              <w:bottom w:w="100" w:type="dxa"/>
              <w:end w:w="120" w:type="dxa"/>
            </w:tcMar>
            <w:vAlign w:val="center"/>
          </w:tcPr>
          <w:p>
            <w:r>
              <w:rPr>
                <w:rFonts w:ascii="Arial" w:hAnsi="Arial"/>
                <w:b/>
                <w:i w:val="0"/>
                <w:color w:val="172A46"/>
                <w:sz w:val="18"/>
              </w:rPr>
              <w:t>Level Up competition lab</w:t>
            </w:r>
          </w:p>
        </w:tc>
        <w:tc>
          <w:tcPr>
            <w:tcW w:type="dxa" w:w="4260"/>
            <w:tcMar>
              <w:top w:w="100" w:type="dxa"/>
              <w:start w:w="120" w:type="dxa"/>
              <w:bottom w:w="100" w:type="dxa"/>
              <w:end w:w="120" w:type="dxa"/>
            </w:tcMar>
            <w:vAlign w:val="center"/>
          </w:tcPr>
          <w:p>
            <w:r>
              <w:rPr>
                <w:rFonts w:ascii="Arial" w:hAnsi="Arial"/>
                <w:b w:val="0"/>
                <w:i w:val="0"/>
                <w:color w:val="18202A"/>
                <w:sz w:val="18"/>
              </w:rPr>
              <w:t>Teams improve the competition robot, practice skills, study strategy, scrimmage, and reflect.</w:t>
            </w:r>
          </w:p>
        </w:tc>
      </w:tr>
    </w:tbl>
    <w:p>
      <w:pPr>
        <w:keepNext w:val="0"/>
        <w:spacing w:before="100" w:after="140" w:line="283" w:lineRule="auto"/>
        <w:jc w:val="left"/>
      </w:pPr>
      <w:r>
        <w:rPr>
          <w:rFonts w:ascii="Arial" w:hAnsi="Arial"/>
          <w:b w:val="0"/>
          <w:i/>
          <w:color w:val="5C6775"/>
          <w:sz w:val="19"/>
        </w:rPr>
        <w:t>Every class ends with notebook evidence, one documented next step, charged batteries, labeled work, returned parts, and a clean field.</w:t>
      </w:r>
    </w:p>
    <w:p>
      <w:pPr>
        <w:pStyle w:val="Heading1"/>
        <w:keepNext/>
        <w:spacing w:before="280" w:after="140"/>
      </w:pPr>
      <w:r>
        <w:rPr>
          <w:rFonts w:ascii="Arial" w:hAnsi="Arial"/>
          <w:b/>
          <w:i w:val="0"/>
          <w:color w:val="3157D5"/>
          <w:sz w:val="32"/>
        </w:rPr>
        <w:t>Six-person competition teams</w:t>
      </w:r>
    </w:p>
    <w:p>
      <w:pPr>
        <w:keepNext w:val="0"/>
        <w:spacing w:before="0" w:after="120" w:line="283" w:lineRule="auto"/>
        <w:jc w:val="left"/>
      </w:pPr>
      <w:r>
        <w:rPr>
          <w:rFonts w:ascii="Arial" w:hAnsi="Arial"/>
          <w:b w:val="0"/>
          <w:i w:val="0"/>
          <w:color w:val="18202A"/>
          <w:sz w:val="22"/>
        </w:rPr>
        <w:t>Each team includes three lead-and-backup pairs. A backup is fully trained and ready to assume the same core work.</w:t>
      </w:r>
    </w:p>
    <w:p>
      <w:pPr>
        <w:pStyle w:val="ListBullet"/>
        <w:spacing w:after="60" w:line="283" w:lineRule="auto"/>
        <w:ind w:left="547" w:hanging="274"/>
      </w:pPr>
      <w:r>
        <w:rPr>
          <w:rFonts w:ascii="Arial" w:hAnsi="Arial"/>
          <w:b w:val="0"/>
          <w:i w:val="0"/>
          <w:color w:val="18202A"/>
          <w:sz w:val="21"/>
        </w:rPr>
        <w:t>Two drivers: lead driver and backup driver</w:t>
      </w:r>
    </w:p>
    <w:p>
      <w:pPr>
        <w:pStyle w:val="ListBullet"/>
        <w:spacing w:after="60" w:line="283" w:lineRule="auto"/>
        <w:ind w:left="547" w:hanging="274"/>
      </w:pPr>
      <w:r>
        <w:rPr>
          <w:rFonts w:ascii="Arial" w:hAnsi="Arial"/>
          <w:b w:val="0"/>
          <w:i w:val="0"/>
          <w:color w:val="18202A"/>
          <w:sz w:val="21"/>
        </w:rPr>
        <w:t>Two programmers: lead programmer and backup programmer</w:t>
      </w:r>
    </w:p>
    <w:p>
      <w:pPr>
        <w:pStyle w:val="ListBullet"/>
        <w:spacing w:after="60" w:line="283" w:lineRule="auto"/>
        <w:ind w:left="547" w:hanging="274"/>
      </w:pPr>
      <w:r>
        <w:rPr>
          <w:rFonts w:ascii="Arial" w:hAnsi="Arial"/>
          <w:b w:val="0"/>
          <w:i w:val="0"/>
          <w:color w:val="18202A"/>
          <w:sz w:val="21"/>
        </w:rPr>
        <w:t>Two strategists: lead strategist and backup strategist</w:t>
      </w:r>
    </w:p>
    <w:p>
      <w:pPr>
        <w:keepNext w:val="0"/>
        <w:spacing w:before="0" w:after="120" w:line="283" w:lineRule="auto"/>
        <w:jc w:val="left"/>
      </w:pPr>
      <w:r>
        <w:rPr>
          <w:rFonts w:ascii="Arial" w:hAnsi="Arial"/>
          <w:b w:val="0"/>
          <w:i w:val="0"/>
          <w:color w:val="18202A"/>
          <w:sz w:val="21"/>
        </w:rPr>
        <w:t>All six students also share construction, inspection, testing, cleanup, parts stewardship, and engineering-notebook evidence. Returning experience is distributed across teams; lead roles are based on readiness and follow-through, not seniority. At an event, Ms. Lang assigns a trained Driver 1, Driver 2, and Loader for each match; those event positions are separate from the classroom specialty-pair titles.</w:t>
      </w:r>
    </w:p>
    <w:p>
      <w:pPr>
        <w:pStyle w:val="Heading1"/>
        <w:keepNext/>
        <w:spacing w:before="280" w:after="140"/>
      </w:pPr>
      <w:r>
        <w:rPr>
          <w:rFonts w:ascii="Arial" w:hAnsi="Arial"/>
          <w:b/>
          <w:i w:val="0"/>
          <w:color w:val="3157D5"/>
          <w:sz w:val="32"/>
        </w:rPr>
        <w:t>How students are graded</w:t>
      </w:r>
    </w:p>
    <w:p>
      <w:pPr>
        <w:keepNext w:val="0"/>
        <w:spacing w:before="0" w:after="120" w:line="283" w:lineRule="auto"/>
        <w:jc w:val="left"/>
      </w:pPr>
      <w:r>
        <w:rPr>
          <w:rFonts w:ascii="Arial" w:hAnsi="Arial"/>
          <w:b w:val="0"/>
          <w:i w:val="0"/>
          <w:color w:val="18202A"/>
          <w:sz w:val="22"/>
        </w:rPr>
        <w:t>Grades reward the quality of the learning process, individual contribution, technical growth, and communication. Tournament placement and trophies never determine a student's grade.</w:t>
      </w:r>
    </w:p>
    <w:tbl>
      <w:tblPr>
        <w:tblW w:type="dxa" w:w="9360"/>
        <w:jc w:val="left"/>
        <w:tblLayout w:type="fixed"/>
        <w:tblLook w:firstColumn="1" w:firstRow="1" w:lastColumn="0" w:lastRow="0" w:noHBand="0" w:noVBand="1" w:val="04A0"/>
        <w:tblInd w:w="120" w:type="dxa"/>
      </w:tblPr>
      <w:tblGrid>
        <w:gridCol w:w="1050"/>
        <w:gridCol w:w="2700"/>
        <w:gridCol w:w="5610"/>
      </w:tblGrid>
      <w:tr>
        <w:trPr>
          <w:tblHeader/>
        </w:trPr>
        <w:tc>
          <w:tcPr>
            <w:tcW w:type="dxa" w:w="1050"/>
            <w:shd w:fill="3157D5"/>
            <w:tcMar>
              <w:top w:w="100" w:type="dxa"/>
              <w:start w:w="120" w:type="dxa"/>
              <w:bottom w:w="100" w:type="dxa"/>
              <w:end w:w="120" w:type="dxa"/>
            </w:tcMar>
            <w:vAlign w:val="center"/>
          </w:tcPr>
          <w:p>
            <w:r>
              <w:rPr>
                <w:rFonts w:ascii="Arial" w:hAnsi="Arial"/>
                <w:b/>
                <w:i w:val="0"/>
                <w:color w:val="FFFFFF"/>
                <w:sz w:val="19"/>
              </w:rPr>
              <w:t>Weight</w:t>
            </w:r>
          </w:p>
        </w:tc>
        <w:tc>
          <w:tcPr>
            <w:tcW w:type="dxa" w:w="2700"/>
            <w:shd w:fill="3157D5"/>
            <w:tcMar>
              <w:top w:w="100" w:type="dxa"/>
              <w:start w:w="120" w:type="dxa"/>
              <w:bottom w:w="100" w:type="dxa"/>
              <w:end w:w="120" w:type="dxa"/>
            </w:tcMar>
            <w:vAlign w:val="center"/>
          </w:tcPr>
          <w:p>
            <w:r>
              <w:rPr>
                <w:rFonts w:ascii="Arial" w:hAnsi="Arial"/>
                <w:b/>
                <w:i w:val="0"/>
                <w:color w:val="FFFFFF"/>
                <w:sz w:val="19"/>
              </w:rPr>
              <w:t>Category</w:t>
            </w:r>
          </w:p>
        </w:tc>
        <w:tc>
          <w:tcPr>
            <w:tcW w:type="dxa" w:w="5610"/>
            <w:shd w:fill="3157D5"/>
            <w:tcMar>
              <w:top w:w="100" w:type="dxa"/>
              <w:start w:w="120" w:type="dxa"/>
              <w:bottom w:w="100" w:type="dxa"/>
              <w:end w:w="120" w:type="dxa"/>
            </w:tcMar>
            <w:vAlign w:val="center"/>
          </w:tcPr>
          <w:p>
            <w:r>
              <w:rPr>
                <w:rFonts w:ascii="Arial" w:hAnsi="Arial"/>
                <w:b/>
                <w:i w:val="0"/>
                <w:color w:val="FFFFFF"/>
                <w:sz w:val="19"/>
              </w:rPr>
              <w:t>Examples of evidence</w:t>
            </w:r>
          </w:p>
        </w:tc>
      </w:tr>
      <w:tr>
        <w:tc>
          <w:tcPr>
            <w:tcW w:type="dxa" w:w="1050"/>
            <w:shd w:fill="FFF8D6"/>
            <w:tcMar>
              <w:top w:w="100" w:type="dxa"/>
              <w:start w:w="120" w:type="dxa"/>
              <w:bottom w:w="100" w:type="dxa"/>
              <w:end w:w="120" w:type="dxa"/>
            </w:tcMar>
            <w:vAlign w:val="center"/>
          </w:tcPr>
          <w:p>
            <w:r>
              <w:rPr>
                <w:rFonts w:ascii="Arial" w:hAnsi="Arial"/>
                <w:b/>
                <w:i w:val="0"/>
                <w:color w:val="172A46"/>
                <w:sz w:val="18"/>
              </w:rPr>
              <w:t>30%</w:t>
            </w:r>
          </w:p>
        </w:tc>
        <w:tc>
          <w:tcPr>
            <w:tcW w:type="dxa" w:w="2700"/>
            <w:tcMar>
              <w:top w:w="100" w:type="dxa"/>
              <w:start w:w="120" w:type="dxa"/>
              <w:bottom w:w="100" w:type="dxa"/>
              <w:end w:w="120" w:type="dxa"/>
            </w:tcMar>
            <w:vAlign w:val="center"/>
          </w:tcPr>
          <w:p>
            <w:r>
              <w:rPr>
                <w:rFonts w:ascii="Arial" w:hAnsi="Arial"/>
                <w:b/>
                <w:i w:val="0"/>
                <w:color w:val="172A46"/>
                <w:sz w:val="18"/>
              </w:rPr>
              <w:t>Engineering process</w:t>
            </w:r>
          </w:p>
        </w:tc>
        <w:tc>
          <w:tcPr>
            <w:tcW w:type="dxa" w:w="5610"/>
            <w:tcMar>
              <w:top w:w="100" w:type="dxa"/>
              <w:start w:w="120" w:type="dxa"/>
              <w:bottom w:w="100" w:type="dxa"/>
              <w:end w:w="120" w:type="dxa"/>
            </w:tcMar>
            <w:vAlign w:val="center"/>
          </w:tcPr>
          <w:p>
            <w:r>
              <w:rPr>
                <w:rFonts w:ascii="Arial" w:hAnsi="Arial"/>
                <w:b w:val="0"/>
                <w:i w:val="0"/>
                <w:color w:val="18202A"/>
                <w:sz w:val="18"/>
              </w:rPr>
              <w:t>Notebook entries, sketches, iterations, and evidence</w:t>
            </w:r>
          </w:p>
        </w:tc>
      </w:tr>
      <w:tr>
        <w:tc>
          <w:tcPr>
            <w:tcW w:type="dxa" w:w="1050"/>
            <w:shd w:fill="FFF8D6"/>
            <w:tcMar>
              <w:top w:w="100" w:type="dxa"/>
              <w:start w:w="120" w:type="dxa"/>
              <w:bottom w:w="100" w:type="dxa"/>
              <w:end w:w="120" w:type="dxa"/>
            </w:tcMar>
            <w:vAlign w:val="center"/>
          </w:tcPr>
          <w:p>
            <w:r>
              <w:rPr>
                <w:rFonts w:ascii="Arial" w:hAnsi="Arial"/>
                <w:b/>
                <w:i w:val="0"/>
                <w:color w:val="172A46"/>
                <w:sz w:val="18"/>
              </w:rPr>
              <w:t>25%</w:t>
            </w:r>
          </w:p>
        </w:tc>
        <w:tc>
          <w:tcPr>
            <w:tcW w:type="dxa" w:w="2700"/>
            <w:tcMar>
              <w:top w:w="100" w:type="dxa"/>
              <w:start w:w="120" w:type="dxa"/>
              <w:bottom w:w="100" w:type="dxa"/>
              <w:end w:w="120" w:type="dxa"/>
            </w:tcMar>
            <w:vAlign w:val="center"/>
          </w:tcPr>
          <w:p>
            <w:r>
              <w:rPr>
                <w:rFonts w:ascii="Arial" w:hAnsi="Arial"/>
                <w:b/>
                <w:i w:val="0"/>
                <w:color w:val="172A46"/>
                <w:sz w:val="18"/>
              </w:rPr>
              <w:t>Technical performance</w:t>
            </w:r>
          </w:p>
        </w:tc>
        <w:tc>
          <w:tcPr>
            <w:tcW w:type="dxa" w:w="5610"/>
            <w:tcMar>
              <w:top w:w="100" w:type="dxa"/>
              <w:start w:w="120" w:type="dxa"/>
              <w:bottom w:w="100" w:type="dxa"/>
              <w:end w:w="120" w:type="dxa"/>
            </w:tcMar>
            <w:vAlign w:val="center"/>
          </w:tcPr>
          <w:p>
            <w:r>
              <w:rPr>
                <w:rFonts w:ascii="Arial" w:hAnsi="Arial"/>
                <w:b w:val="0"/>
                <w:i w:val="0"/>
                <w:color w:val="18202A"/>
                <w:sz w:val="18"/>
              </w:rPr>
              <w:t>Build quality, code, driving, reliability, and growth</w:t>
            </w:r>
          </w:p>
        </w:tc>
      </w:tr>
      <w:tr>
        <w:tc>
          <w:tcPr>
            <w:tcW w:type="dxa" w:w="1050"/>
            <w:shd w:fill="FFF8D6"/>
            <w:tcMar>
              <w:top w:w="100" w:type="dxa"/>
              <w:start w:w="120" w:type="dxa"/>
              <w:bottom w:w="100" w:type="dxa"/>
              <w:end w:w="120" w:type="dxa"/>
            </w:tcMar>
            <w:vAlign w:val="center"/>
          </w:tcPr>
          <w:p>
            <w:r>
              <w:rPr>
                <w:rFonts w:ascii="Arial" w:hAnsi="Arial"/>
                <w:b/>
                <w:i w:val="0"/>
                <w:color w:val="172A46"/>
                <w:sz w:val="18"/>
              </w:rPr>
              <w:t>20%</w:t>
            </w:r>
          </w:p>
        </w:tc>
        <w:tc>
          <w:tcPr>
            <w:tcW w:type="dxa" w:w="2700"/>
            <w:tcMar>
              <w:top w:w="100" w:type="dxa"/>
              <w:start w:w="120" w:type="dxa"/>
              <w:bottom w:w="100" w:type="dxa"/>
              <w:end w:w="120" w:type="dxa"/>
            </w:tcMar>
            <w:vAlign w:val="center"/>
          </w:tcPr>
          <w:p>
            <w:r>
              <w:rPr>
                <w:rFonts w:ascii="Arial" w:hAnsi="Arial"/>
                <w:b/>
                <w:i w:val="0"/>
                <w:color w:val="172A46"/>
                <w:sz w:val="18"/>
              </w:rPr>
              <w:t>Collaboration</w:t>
            </w:r>
          </w:p>
        </w:tc>
        <w:tc>
          <w:tcPr>
            <w:tcW w:type="dxa" w:w="5610"/>
            <w:tcMar>
              <w:top w:w="100" w:type="dxa"/>
              <w:start w:w="120" w:type="dxa"/>
              <w:bottom w:w="100" w:type="dxa"/>
              <w:end w:w="120" w:type="dxa"/>
            </w:tcMar>
            <w:vAlign w:val="center"/>
          </w:tcPr>
          <w:p>
            <w:r>
              <w:rPr>
                <w:rFonts w:ascii="Arial" w:hAnsi="Arial"/>
                <w:b w:val="0"/>
                <w:i w:val="0"/>
                <w:color w:val="18202A"/>
                <w:sz w:val="18"/>
              </w:rPr>
              <w:t>Role follow-through, communication, safety, and stewardship</w:t>
            </w:r>
          </w:p>
        </w:tc>
      </w:tr>
      <w:tr>
        <w:tc>
          <w:tcPr>
            <w:tcW w:type="dxa" w:w="1050"/>
            <w:shd w:fill="FFF8D6"/>
            <w:tcMar>
              <w:top w:w="100" w:type="dxa"/>
              <w:start w:w="120" w:type="dxa"/>
              <w:bottom w:w="100" w:type="dxa"/>
              <w:end w:w="120" w:type="dxa"/>
            </w:tcMar>
            <w:vAlign w:val="center"/>
          </w:tcPr>
          <w:p>
            <w:r>
              <w:rPr>
                <w:rFonts w:ascii="Arial" w:hAnsi="Arial"/>
                <w:b/>
                <w:i w:val="0"/>
                <w:color w:val="172A46"/>
                <w:sz w:val="18"/>
              </w:rPr>
              <w:t>15%</w:t>
            </w:r>
          </w:p>
        </w:tc>
        <w:tc>
          <w:tcPr>
            <w:tcW w:type="dxa" w:w="2700"/>
            <w:tcMar>
              <w:top w:w="100" w:type="dxa"/>
              <w:start w:w="120" w:type="dxa"/>
              <w:bottom w:w="100" w:type="dxa"/>
              <w:end w:w="120" w:type="dxa"/>
            </w:tcMar>
            <w:vAlign w:val="center"/>
          </w:tcPr>
          <w:p>
            <w:r>
              <w:rPr>
                <w:rFonts w:ascii="Arial" w:hAnsi="Arial"/>
                <w:b/>
                <w:i w:val="0"/>
                <w:color w:val="172A46"/>
                <w:sz w:val="18"/>
              </w:rPr>
              <w:t>Competition readiness</w:t>
            </w:r>
          </w:p>
        </w:tc>
        <w:tc>
          <w:tcPr>
            <w:tcW w:type="dxa" w:w="5610"/>
            <w:tcMar>
              <w:top w:w="100" w:type="dxa"/>
              <w:start w:w="120" w:type="dxa"/>
              <w:bottom w:w="100" w:type="dxa"/>
              <w:end w:w="120" w:type="dxa"/>
            </w:tcMar>
            <w:vAlign w:val="center"/>
          </w:tcPr>
          <w:p>
            <w:r>
              <w:rPr>
                <w:rFonts w:ascii="Arial" w:hAnsi="Arial"/>
                <w:b w:val="0"/>
                <w:i w:val="0"/>
                <w:color w:val="18202A"/>
                <w:sz w:val="18"/>
              </w:rPr>
              <w:t>Rules, inspection, scouting, interviews, and match conduct</w:t>
            </w:r>
          </w:p>
        </w:tc>
      </w:tr>
      <w:tr>
        <w:tc>
          <w:tcPr>
            <w:tcW w:type="dxa" w:w="1050"/>
            <w:shd w:fill="FFF8D6"/>
            <w:tcMar>
              <w:top w:w="100" w:type="dxa"/>
              <w:start w:w="120" w:type="dxa"/>
              <w:bottom w:w="100" w:type="dxa"/>
              <w:end w:w="120" w:type="dxa"/>
            </w:tcMar>
            <w:vAlign w:val="center"/>
          </w:tcPr>
          <w:p>
            <w:r>
              <w:rPr>
                <w:rFonts w:ascii="Arial" w:hAnsi="Arial"/>
                <w:b/>
                <w:i w:val="0"/>
                <w:color w:val="172A46"/>
                <w:sz w:val="18"/>
              </w:rPr>
              <w:t>10%</w:t>
            </w:r>
          </w:p>
        </w:tc>
        <w:tc>
          <w:tcPr>
            <w:tcW w:type="dxa" w:w="2700"/>
            <w:tcMar>
              <w:top w:w="100" w:type="dxa"/>
              <w:start w:w="120" w:type="dxa"/>
              <w:bottom w:w="100" w:type="dxa"/>
              <w:end w:w="120" w:type="dxa"/>
            </w:tcMar>
            <w:vAlign w:val="center"/>
          </w:tcPr>
          <w:p>
            <w:r>
              <w:rPr>
                <w:rFonts w:ascii="Arial" w:hAnsi="Arial"/>
                <w:b/>
                <w:i w:val="0"/>
                <w:color w:val="172A46"/>
                <w:sz w:val="18"/>
              </w:rPr>
              <w:t>Reflection + communication</w:t>
            </w:r>
          </w:p>
        </w:tc>
        <w:tc>
          <w:tcPr>
            <w:tcW w:type="dxa" w:w="5610"/>
            <w:tcMar>
              <w:top w:w="100" w:type="dxa"/>
              <w:start w:w="120" w:type="dxa"/>
              <w:bottom w:w="100" w:type="dxa"/>
              <w:end w:w="120" w:type="dxa"/>
            </w:tcMar>
            <w:vAlign w:val="center"/>
          </w:tcPr>
          <w:p>
            <w:r>
              <w:rPr>
                <w:rFonts w:ascii="Arial" w:hAnsi="Arial"/>
                <w:b w:val="0"/>
                <w:i w:val="0"/>
                <w:color w:val="18202A"/>
                <w:sz w:val="18"/>
              </w:rPr>
              <w:t>Design reviews, portfolios, demonstrations, and handoff</w:t>
            </w:r>
          </w:p>
        </w:tc>
      </w:tr>
    </w:tbl>
    <w:p>
      <w:pPr>
        <w:pStyle w:val="Heading1"/>
        <w:keepNext/>
        <w:spacing w:before="280" w:after="140"/>
      </w:pPr>
      <w:r>
        <w:rPr>
          <w:rFonts w:ascii="Arial" w:hAnsi="Arial"/>
          <w:b/>
          <w:i w:val="0"/>
          <w:color w:val="3157D5"/>
          <w:sz w:val="32"/>
        </w:rPr>
        <w:t>Engineering notebook expectations</w:t>
      </w:r>
    </w:p>
    <w:p>
      <w:pPr>
        <w:keepNext w:val="0"/>
        <w:spacing w:before="0" w:after="120" w:line="283" w:lineRule="auto"/>
        <w:jc w:val="left"/>
      </w:pPr>
      <w:r>
        <w:rPr>
          <w:rFonts w:ascii="Arial" w:hAnsi="Arial"/>
          <w:b w:val="0"/>
          <w:i w:val="0"/>
          <w:color w:val="18202A"/>
          <w:sz w:val="22"/>
        </w:rPr>
        <w:t>Teams use the engineering notebook to show the engineering design cycle: identify a problem, brainstorm alternatives, select with evidence, build or program, test, interpret, and iterate. Entries should be dated, readable, specific, and connected to student work.</w:t>
      </w:r>
    </w:p>
    <w:p>
      <w:pPr>
        <w:pStyle w:val="ListBullet"/>
        <w:spacing w:after="60" w:line="283" w:lineRule="auto"/>
        <w:ind w:left="547" w:hanging="274"/>
      </w:pPr>
      <w:r>
        <w:rPr>
          <w:rFonts w:ascii="Arial" w:hAnsi="Arial"/>
          <w:b w:val="0"/>
          <w:i w:val="0"/>
          <w:color w:val="18202A"/>
          <w:sz w:val="21"/>
        </w:rPr>
        <w:t>Identify the problem, goal, or constraint.</w:t>
      </w:r>
    </w:p>
    <w:p>
      <w:pPr>
        <w:pStyle w:val="ListBullet"/>
        <w:spacing w:after="60" w:line="283" w:lineRule="auto"/>
        <w:ind w:left="547" w:hanging="274"/>
      </w:pPr>
      <w:r>
        <w:rPr>
          <w:rFonts w:ascii="Arial" w:hAnsi="Arial"/>
          <w:b w:val="0"/>
          <w:i w:val="0"/>
          <w:color w:val="18202A"/>
          <w:sz w:val="21"/>
        </w:rPr>
        <w:t>Include sketches, code notes, measurements, photos, or trial data when useful.</w:t>
      </w:r>
    </w:p>
    <w:p>
      <w:pPr>
        <w:pStyle w:val="ListBullet"/>
        <w:spacing w:after="60" w:line="283" w:lineRule="auto"/>
        <w:ind w:left="547" w:hanging="274"/>
      </w:pPr>
      <w:r>
        <w:rPr>
          <w:rFonts w:ascii="Arial" w:hAnsi="Arial"/>
          <w:b w:val="0"/>
          <w:i w:val="0"/>
          <w:color w:val="18202A"/>
          <w:sz w:val="21"/>
        </w:rPr>
        <w:t>Explain what the evidence means, not only what happened.</w:t>
      </w:r>
    </w:p>
    <w:p>
      <w:pPr>
        <w:pStyle w:val="ListBullet"/>
        <w:spacing w:after="60" w:line="283" w:lineRule="auto"/>
        <w:ind w:left="547" w:hanging="274"/>
      </w:pPr>
      <w:r>
        <w:rPr>
          <w:rFonts w:ascii="Arial" w:hAnsi="Arial"/>
          <w:b w:val="0"/>
          <w:i w:val="0"/>
          <w:color w:val="18202A"/>
          <w:sz w:val="21"/>
        </w:rPr>
        <w:t>Record individual contributions and the team's next test.</w:t>
      </w:r>
    </w:p>
    <w:p>
      <w:pPr>
        <w:pStyle w:val="ListBullet"/>
        <w:spacing w:after="60" w:line="283" w:lineRule="auto"/>
        <w:ind w:left="547" w:hanging="274"/>
      </w:pPr>
      <w:r>
        <w:rPr>
          <w:rFonts w:ascii="Arial" w:hAnsi="Arial"/>
          <w:b w:val="0"/>
          <w:i w:val="0"/>
          <w:color w:val="18202A"/>
          <w:sz w:val="21"/>
        </w:rPr>
        <w:t>Keep failed ideas and raw data; duplicate template pages for each meaningful session or design cycle.</w:t>
      </w:r>
    </w:p>
    <w:p>
      <w:pPr>
        <w:pStyle w:val="Heading1"/>
        <w:keepNext/>
        <w:spacing w:before="280" w:after="140"/>
      </w:pPr>
      <w:r>
        <w:rPr>
          <w:rFonts w:ascii="Arial" w:hAnsi="Arial"/>
          <w:b/>
          <w:i w:val="0"/>
          <w:color w:val="3157D5"/>
          <w:sz w:val="32"/>
        </w:rPr>
        <w:t>Major learning milestones</w:t>
      </w:r>
    </w:p>
    <w:tbl>
      <w:tblPr>
        <w:tblW w:type="dxa" w:w="9360"/>
        <w:jc w:val="left"/>
        <w:tblLayout w:type="fixed"/>
        <w:tblLook w:firstColumn="1" w:firstRow="1" w:lastColumn="0" w:lastRow="0" w:noHBand="0" w:noVBand="1" w:val="04A0"/>
        <w:tblInd w:w="120" w:type="dxa"/>
      </w:tblPr>
      <w:tblGrid>
        <w:gridCol w:w="1400"/>
        <w:gridCol w:w="2600"/>
        <w:gridCol w:w="5360"/>
      </w:tblGrid>
      <w:tr>
        <w:trPr>
          <w:tblHeader/>
        </w:trPr>
        <w:tc>
          <w:tcPr>
            <w:tcW w:type="dxa" w:w="1400"/>
            <w:shd w:fill="172A46"/>
            <w:tcMar>
              <w:top w:w="100" w:type="dxa"/>
              <w:start w:w="120" w:type="dxa"/>
              <w:bottom w:w="100" w:type="dxa"/>
              <w:end w:w="120" w:type="dxa"/>
            </w:tcMar>
            <w:vAlign w:val="center"/>
          </w:tcPr>
          <w:p>
            <w:r>
              <w:rPr>
                <w:rFonts w:ascii="Arial" w:hAnsi="Arial"/>
                <w:b/>
                <w:i w:val="0"/>
                <w:color w:val="FFFFFF"/>
                <w:sz w:val="18"/>
              </w:rPr>
              <w:t>Window</w:t>
            </w:r>
          </w:p>
        </w:tc>
        <w:tc>
          <w:tcPr>
            <w:tcW w:type="dxa" w:w="2600"/>
            <w:shd w:fill="172A46"/>
            <w:tcMar>
              <w:top w:w="100" w:type="dxa"/>
              <w:start w:w="120" w:type="dxa"/>
              <w:bottom w:w="100" w:type="dxa"/>
              <w:end w:w="120" w:type="dxa"/>
            </w:tcMar>
            <w:vAlign w:val="center"/>
          </w:tcPr>
          <w:p>
            <w:r>
              <w:rPr>
                <w:rFonts w:ascii="Arial" w:hAnsi="Arial"/>
                <w:b/>
                <w:i w:val="0"/>
                <w:color w:val="FFFFFF"/>
                <w:sz w:val="18"/>
              </w:rPr>
              <w:t>Milestone</w:t>
            </w:r>
          </w:p>
        </w:tc>
        <w:tc>
          <w:tcPr>
            <w:tcW w:type="dxa" w:w="5360"/>
            <w:shd w:fill="172A46"/>
            <w:tcMar>
              <w:top w:w="100" w:type="dxa"/>
              <w:start w:w="120" w:type="dxa"/>
              <w:bottom w:w="100" w:type="dxa"/>
              <w:end w:w="120" w:type="dxa"/>
            </w:tcMar>
            <w:vAlign w:val="center"/>
          </w:tcPr>
          <w:p>
            <w:r>
              <w:rPr>
                <w:rFonts w:ascii="Arial" w:hAnsi="Arial"/>
                <w:b/>
                <w:i w:val="0"/>
                <w:color w:val="FFFFFF"/>
                <w:sz w:val="18"/>
              </w:rPr>
              <w:t>Family-facing evidence</w:t>
            </w:r>
          </w:p>
        </w:tc>
      </w:tr>
      <w:tr>
        <w:tc>
          <w:tcPr>
            <w:tcW w:type="dxa" w:w="1400"/>
            <w:tcMar>
              <w:top w:w="100" w:type="dxa"/>
              <w:start w:w="120" w:type="dxa"/>
              <w:bottom w:w="100" w:type="dxa"/>
              <w:end w:w="120" w:type="dxa"/>
            </w:tcMar>
            <w:vAlign w:val="center"/>
          </w:tcPr>
          <w:p>
            <w:r>
              <w:rPr>
                <w:rFonts w:ascii="Arial" w:hAnsi="Arial"/>
                <w:b/>
                <w:i w:val="0"/>
                <w:color w:val="172A46"/>
                <w:sz w:val="17"/>
              </w:rPr>
              <w:t>Aug-Sep</w:t>
            </w:r>
          </w:p>
        </w:tc>
        <w:tc>
          <w:tcPr>
            <w:tcW w:type="dxa" w:w="2600"/>
            <w:tcMar>
              <w:top w:w="100" w:type="dxa"/>
              <w:start w:w="120" w:type="dxa"/>
              <w:bottom w:w="100" w:type="dxa"/>
              <w:end w:w="120" w:type="dxa"/>
            </w:tcMar>
            <w:vAlign w:val="center"/>
          </w:tcPr>
          <w:p>
            <w:r>
              <w:rPr>
                <w:rFonts w:ascii="Arial" w:hAnsi="Arial"/>
                <w:b/>
                <w:i w:val="0"/>
                <w:color w:val="172A46"/>
                <w:sz w:val="17"/>
              </w:rPr>
              <w:t>Launch the Lab</w:t>
            </w:r>
          </w:p>
        </w:tc>
        <w:tc>
          <w:tcPr>
            <w:tcW w:type="dxa" w:w="5360"/>
            <w:tcMar>
              <w:top w:w="100" w:type="dxa"/>
              <w:start w:w="120" w:type="dxa"/>
              <w:bottom w:w="100" w:type="dxa"/>
              <w:end w:w="120" w:type="dxa"/>
            </w:tcMar>
            <w:vAlign w:val="center"/>
          </w:tcPr>
          <w:p>
            <w:r>
              <w:rPr>
                <w:rFonts w:ascii="Arial" w:hAnsi="Arial"/>
                <w:b w:val="0"/>
                <w:i w:val="0"/>
                <w:color w:val="18202A"/>
                <w:sz w:val="17"/>
              </w:rPr>
              <w:t>Safety, team charter, rules, and baseline data</w:t>
            </w:r>
          </w:p>
        </w:tc>
      </w:tr>
      <w:tr>
        <w:tc>
          <w:tcPr>
            <w:tcW w:type="dxa" w:w="1400"/>
            <w:tcMar>
              <w:top w:w="100" w:type="dxa"/>
              <w:start w:w="120" w:type="dxa"/>
              <w:bottom w:w="100" w:type="dxa"/>
              <w:end w:w="120" w:type="dxa"/>
            </w:tcMar>
            <w:vAlign w:val="center"/>
          </w:tcPr>
          <w:p>
            <w:r>
              <w:rPr>
                <w:rFonts w:ascii="Arial" w:hAnsi="Arial"/>
                <w:b/>
                <w:i w:val="0"/>
                <w:color w:val="172A46"/>
                <w:sz w:val="17"/>
              </w:rPr>
              <w:t>Sep-Oct</w:t>
            </w:r>
          </w:p>
        </w:tc>
        <w:tc>
          <w:tcPr>
            <w:tcW w:type="dxa" w:w="2600"/>
            <w:tcMar>
              <w:top w:w="100" w:type="dxa"/>
              <w:start w:w="120" w:type="dxa"/>
              <w:bottom w:w="100" w:type="dxa"/>
              <w:end w:w="120" w:type="dxa"/>
            </w:tcMar>
            <w:vAlign w:val="center"/>
          </w:tcPr>
          <w:p>
            <w:r>
              <w:rPr>
                <w:rFonts w:ascii="Arial" w:hAnsi="Arial"/>
                <w:b/>
                <w:i w:val="0"/>
                <w:color w:val="172A46"/>
                <w:sz w:val="17"/>
              </w:rPr>
              <w:t>Mechanisms That Score</w:t>
            </w:r>
          </w:p>
        </w:tc>
        <w:tc>
          <w:tcPr>
            <w:tcW w:type="dxa" w:w="5360"/>
            <w:tcMar>
              <w:top w:w="100" w:type="dxa"/>
              <w:start w:w="120" w:type="dxa"/>
              <w:bottom w:w="100" w:type="dxa"/>
              <w:end w:w="120" w:type="dxa"/>
            </w:tcMar>
            <w:vAlign w:val="center"/>
          </w:tcPr>
          <w:p>
            <w:r>
              <w:rPr>
                <w:rFonts w:ascii="Arial" w:hAnsi="Arial"/>
                <w:b w:val="0"/>
                <w:i w:val="0"/>
                <w:color w:val="18202A"/>
                <w:sz w:val="17"/>
              </w:rPr>
              <w:t>Prototype tests, design review, and robot v1</w:t>
            </w:r>
          </w:p>
        </w:tc>
      </w:tr>
      <w:tr>
        <w:tc>
          <w:tcPr>
            <w:tcW w:type="dxa" w:w="1400"/>
            <w:tcMar>
              <w:top w:w="100" w:type="dxa"/>
              <w:start w:w="120" w:type="dxa"/>
              <w:bottom w:w="100" w:type="dxa"/>
              <w:end w:w="120" w:type="dxa"/>
            </w:tcMar>
            <w:vAlign w:val="center"/>
          </w:tcPr>
          <w:p>
            <w:r>
              <w:rPr>
                <w:rFonts w:ascii="Arial" w:hAnsi="Arial"/>
                <w:b/>
                <w:i w:val="0"/>
                <w:color w:val="172A46"/>
                <w:sz w:val="17"/>
              </w:rPr>
              <w:t>Nov-Dec</w:t>
            </w:r>
          </w:p>
        </w:tc>
        <w:tc>
          <w:tcPr>
            <w:tcW w:type="dxa" w:w="2600"/>
            <w:tcMar>
              <w:top w:w="100" w:type="dxa"/>
              <w:start w:w="120" w:type="dxa"/>
              <w:bottom w:w="100" w:type="dxa"/>
              <w:end w:w="120" w:type="dxa"/>
            </w:tcMar>
            <w:vAlign w:val="center"/>
          </w:tcPr>
          <w:p>
            <w:r>
              <w:rPr>
                <w:rFonts w:ascii="Arial" w:hAnsi="Arial"/>
                <w:b/>
                <w:i w:val="0"/>
                <w:color w:val="172A46"/>
                <w:sz w:val="17"/>
              </w:rPr>
              <w:t>Drive, Code, Compete</w:t>
            </w:r>
          </w:p>
        </w:tc>
        <w:tc>
          <w:tcPr>
            <w:tcW w:type="dxa" w:w="5360"/>
            <w:tcMar>
              <w:top w:w="100" w:type="dxa"/>
              <w:start w:w="120" w:type="dxa"/>
              <w:bottom w:w="100" w:type="dxa"/>
              <w:end w:w="120" w:type="dxa"/>
            </w:tcMar>
            <w:vAlign w:val="center"/>
          </w:tcPr>
          <w:p>
            <w:r>
              <w:rPr>
                <w:rFonts w:ascii="Arial" w:hAnsi="Arial"/>
                <w:b w:val="0"/>
                <w:i w:val="0"/>
                <w:color w:val="18202A"/>
                <w:sz w:val="17"/>
              </w:rPr>
              <w:t>Driving, autonomous, mock event, and portfolio</w:t>
            </w:r>
          </w:p>
        </w:tc>
      </w:tr>
      <w:tr>
        <w:tc>
          <w:tcPr>
            <w:tcW w:type="dxa" w:w="1400"/>
            <w:tcMar>
              <w:top w:w="100" w:type="dxa"/>
              <w:start w:w="120" w:type="dxa"/>
              <w:bottom w:w="100" w:type="dxa"/>
              <w:end w:w="120" w:type="dxa"/>
            </w:tcMar>
            <w:vAlign w:val="center"/>
          </w:tcPr>
          <w:p>
            <w:r>
              <w:rPr>
                <w:rFonts w:ascii="Arial" w:hAnsi="Arial"/>
                <w:b/>
                <w:i w:val="0"/>
                <w:color w:val="172A46"/>
                <w:sz w:val="17"/>
              </w:rPr>
              <w:t>Jan-Feb</w:t>
            </w:r>
          </w:p>
        </w:tc>
        <w:tc>
          <w:tcPr>
            <w:tcW w:type="dxa" w:w="2600"/>
            <w:tcMar>
              <w:top w:w="100" w:type="dxa"/>
              <w:start w:w="120" w:type="dxa"/>
              <w:bottom w:w="100" w:type="dxa"/>
              <w:end w:w="120" w:type="dxa"/>
            </w:tcMar>
            <w:vAlign w:val="center"/>
          </w:tcPr>
          <w:p>
            <w:r>
              <w:rPr>
                <w:rFonts w:ascii="Arial" w:hAnsi="Arial"/>
                <w:b/>
                <w:i w:val="0"/>
                <w:color w:val="172A46"/>
                <w:sz w:val="17"/>
              </w:rPr>
              <w:t>Rebuild From Evidence</w:t>
            </w:r>
          </w:p>
        </w:tc>
        <w:tc>
          <w:tcPr>
            <w:tcW w:type="dxa" w:w="5360"/>
            <w:tcMar>
              <w:top w:w="100" w:type="dxa"/>
              <w:start w:w="120" w:type="dxa"/>
              <w:bottom w:w="100" w:type="dxa"/>
              <w:end w:w="120" w:type="dxa"/>
            </w:tcMar>
            <w:vAlign w:val="center"/>
          </w:tcPr>
          <w:p>
            <w:r>
              <w:rPr>
                <w:rFonts w:ascii="Arial" w:hAnsi="Arial"/>
                <w:b w:val="0"/>
                <w:i w:val="0"/>
                <w:color w:val="18202A"/>
                <w:sz w:val="17"/>
              </w:rPr>
              <w:t>Failure analysis, robot v2, A/B test, and benchmark</w:t>
            </w:r>
          </w:p>
        </w:tc>
      </w:tr>
      <w:tr>
        <w:tc>
          <w:tcPr>
            <w:tcW w:type="dxa" w:w="1400"/>
            <w:tcMar>
              <w:top w:w="100" w:type="dxa"/>
              <w:start w:w="120" w:type="dxa"/>
              <w:bottom w:w="100" w:type="dxa"/>
              <w:end w:w="120" w:type="dxa"/>
            </w:tcMar>
            <w:vAlign w:val="center"/>
          </w:tcPr>
          <w:p>
            <w:r>
              <w:rPr>
                <w:rFonts w:ascii="Arial" w:hAnsi="Arial"/>
                <w:b/>
                <w:i w:val="0"/>
                <w:color w:val="172A46"/>
                <w:sz w:val="17"/>
              </w:rPr>
              <w:t>Feb-Apr</w:t>
            </w:r>
          </w:p>
        </w:tc>
        <w:tc>
          <w:tcPr>
            <w:tcW w:type="dxa" w:w="2600"/>
            <w:tcMar>
              <w:top w:w="100" w:type="dxa"/>
              <w:start w:w="120" w:type="dxa"/>
              <w:bottom w:w="100" w:type="dxa"/>
              <w:end w:w="120" w:type="dxa"/>
            </w:tcMar>
            <w:vAlign w:val="center"/>
          </w:tcPr>
          <w:p>
            <w:r>
              <w:rPr>
                <w:rFonts w:ascii="Arial" w:hAnsi="Arial"/>
                <w:b/>
                <w:i w:val="0"/>
                <w:color w:val="172A46"/>
                <w:sz w:val="17"/>
              </w:rPr>
              <w:t>Peak Competition</w:t>
            </w:r>
          </w:p>
        </w:tc>
        <w:tc>
          <w:tcPr>
            <w:tcW w:type="dxa" w:w="5360"/>
            <w:tcMar>
              <w:top w:w="100" w:type="dxa"/>
              <w:start w:w="120" w:type="dxa"/>
              <w:bottom w:w="100" w:type="dxa"/>
              <w:end w:w="120" w:type="dxa"/>
            </w:tcMar>
            <w:vAlign w:val="center"/>
          </w:tcPr>
          <w:p>
            <w:r>
              <w:rPr>
                <w:rFonts w:ascii="Arial" w:hAnsi="Arial"/>
                <w:b w:val="0"/>
                <w:i w:val="0"/>
                <w:color w:val="18202A"/>
                <w:sz w:val="17"/>
              </w:rPr>
              <w:t>Scouting, inspection, judging, and event reflection</w:t>
            </w:r>
          </w:p>
        </w:tc>
      </w:tr>
      <w:tr>
        <w:tc>
          <w:tcPr>
            <w:tcW w:type="dxa" w:w="1400"/>
            <w:tcMar>
              <w:top w:w="100" w:type="dxa"/>
              <w:start w:w="120" w:type="dxa"/>
              <w:bottom w:w="100" w:type="dxa"/>
              <w:end w:w="120" w:type="dxa"/>
            </w:tcMar>
            <w:vAlign w:val="center"/>
          </w:tcPr>
          <w:p>
            <w:r>
              <w:rPr>
                <w:rFonts w:ascii="Arial" w:hAnsi="Arial"/>
                <w:b/>
                <w:i w:val="0"/>
                <w:color w:val="172A46"/>
                <w:sz w:val="17"/>
              </w:rPr>
              <w:t>Apr-Jun</w:t>
            </w:r>
          </w:p>
        </w:tc>
        <w:tc>
          <w:tcPr>
            <w:tcW w:type="dxa" w:w="2600"/>
            <w:tcMar>
              <w:top w:w="100" w:type="dxa"/>
              <w:start w:w="120" w:type="dxa"/>
              <w:bottom w:w="100" w:type="dxa"/>
              <w:end w:w="120" w:type="dxa"/>
            </w:tcMar>
            <w:vAlign w:val="center"/>
          </w:tcPr>
          <w:p>
            <w:r>
              <w:rPr>
                <w:rFonts w:ascii="Arial" w:hAnsi="Arial"/>
                <w:b/>
                <w:i w:val="0"/>
                <w:color w:val="172A46"/>
                <w:sz w:val="17"/>
              </w:rPr>
              <w:t>Legacy + Showcase</w:t>
            </w:r>
          </w:p>
        </w:tc>
        <w:tc>
          <w:tcPr>
            <w:tcW w:type="dxa" w:w="5360"/>
            <w:tcMar>
              <w:top w:w="100" w:type="dxa"/>
              <w:start w:w="120" w:type="dxa"/>
              <w:bottom w:w="100" w:type="dxa"/>
              <w:end w:w="120" w:type="dxa"/>
            </w:tcMar>
            <w:vAlign w:val="center"/>
          </w:tcPr>
          <w:p>
            <w:r>
              <w:rPr>
                <w:rFonts w:ascii="Arial" w:hAnsi="Arial"/>
                <w:b w:val="0"/>
                <w:i w:val="0"/>
                <w:color w:val="18202A"/>
                <w:sz w:val="17"/>
              </w:rPr>
              <w:t>Student teaching, portfolio, showcase, and handoff</w:t>
            </w:r>
          </w:p>
        </w:tc>
      </w:tr>
    </w:tbl>
    <w:p>
      <w:pPr>
        <w:pStyle w:val="Heading1"/>
        <w:keepNext/>
        <w:spacing w:before="280" w:after="140"/>
      </w:pPr>
      <w:r>
        <w:rPr>
          <w:rFonts w:ascii="Arial" w:hAnsi="Arial"/>
          <w:b/>
          <w:i w:val="0"/>
          <w:color w:val="3157D5"/>
          <w:sz w:val="32"/>
        </w:rPr>
        <w:t>Competition and event commitments</w:t>
      </w:r>
    </w:p>
    <w:p>
      <w:pPr>
        <w:keepNext w:val="0"/>
        <w:spacing w:before="0" w:after="120" w:line="283" w:lineRule="auto"/>
        <w:jc w:val="left"/>
      </w:pPr>
      <w:r>
        <w:rPr>
          <w:rFonts w:ascii="Arial" w:hAnsi="Arial"/>
          <w:b w:val="0"/>
          <w:i w:val="0"/>
          <w:color w:val="18202A"/>
          <w:sz w:val="22"/>
        </w:rPr>
        <w:t>Competition dates may occur outside the regular school day. Ms. Lang will publish confirmed events, transportation information, permission requirements, arrival times, and packing expectations in Canvas. Participation expectations will be communicated in advance, and students should notify the teacher promptly about conflicts.</w:t>
      </w:r>
    </w:p>
    <w:p>
      <w:pPr>
        <w:pStyle w:val="ListBullet"/>
        <w:spacing w:after="60" w:line="283" w:lineRule="auto"/>
        <w:ind w:left="547" w:hanging="274"/>
      </w:pPr>
      <w:r>
        <w:rPr>
          <w:rFonts w:ascii="Arial" w:hAnsi="Arial"/>
          <w:b w:val="0"/>
          <w:i w:val="0"/>
          <w:color w:val="18202A"/>
          <w:sz w:val="21"/>
        </w:rPr>
        <w:t>Students represent Stauffer through safe, respectful, and student-centered conduct.</w:t>
      </w:r>
    </w:p>
    <w:p>
      <w:pPr>
        <w:pStyle w:val="ListBullet"/>
        <w:spacing w:after="60" w:line="283" w:lineRule="auto"/>
        <w:ind w:left="547" w:hanging="274"/>
      </w:pPr>
      <w:r>
        <w:rPr>
          <w:rFonts w:ascii="Arial" w:hAnsi="Arial"/>
          <w:b w:val="0"/>
          <w:i w:val="0"/>
          <w:color w:val="18202A"/>
          <w:sz w:val="21"/>
        </w:rPr>
        <w:t>Teams keep robots legal, inspected, charged, labeled, and event-ready.</w:t>
      </w:r>
    </w:p>
    <w:p>
      <w:pPr>
        <w:pStyle w:val="ListBullet"/>
        <w:spacing w:after="60" w:line="283" w:lineRule="auto"/>
        <w:ind w:left="547" w:hanging="274"/>
      </w:pPr>
      <w:r>
        <w:rPr>
          <w:rFonts w:ascii="Arial" w:hAnsi="Arial"/>
          <w:b w:val="0"/>
          <w:i w:val="0"/>
          <w:color w:val="18202A"/>
          <w:sz w:val="21"/>
        </w:rPr>
        <w:t>Students should be able to explain their own robot, code, strategy, and design process.</w:t>
      </w:r>
    </w:p>
    <w:p>
      <w:pPr>
        <w:pStyle w:val="ListBullet"/>
        <w:spacing w:after="60" w:line="283" w:lineRule="auto"/>
        <w:ind w:left="547" w:hanging="274"/>
      </w:pPr>
      <w:r>
        <w:rPr>
          <w:rFonts w:ascii="Arial" w:hAnsi="Arial"/>
          <w:b w:val="0"/>
          <w:i w:val="0"/>
          <w:color w:val="18202A"/>
          <w:sz w:val="21"/>
        </w:rPr>
        <w:t>The current official game manual and updates are always the authority.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6FA"/>
          </w:tcPr>
          <w:p>
            <w:pPr>
              <w:spacing w:after="0" w:line="276" w:lineRule="auto"/>
            </w:pPr>
            <w:r>
              <w:rPr>
                <w:rFonts w:ascii="Arial" w:hAnsi="Arial"/>
                <w:b/>
                <w:i w:val="0"/>
                <w:color w:val="3157D5"/>
                <w:sz w:val="21"/>
              </w:rPr>
              <w:t xml:space="preserve">LEVEL UP BASELINE  </w:t>
            </w:r>
            <w:r>
              <w:rPr>
                <w:rFonts w:ascii="Arial" w:hAnsi="Arial"/>
                <w:b w:val="0"/>
                <w:i w:val="0"/>
                <w:color w:val="18202A"/>
                <w:sz w:val="21"/>
              </w:rPr>
              <w:t>Course materials were checked against Game Manual Version 1.1 (August 6, 2026): 60-second Teamwork and Skills matches, an 11 x 20 x 15-inch starting Robot, no more than six Smart Motors, and Driver 1/Driver 2/Loader procedures. Teams recheck the live manual before events.</w:t>
            </w:r>
          </w:p>
        </w:tc>
      </w:tr>
    </w:tbl>
    <w:p>
      <w:pPr>
        <w:keepNext w:val="0"/>
        <w:spacing w:before="0" w:after="40" w:line="283" w:lineRule="auto"/>
        <w:jc w:val="left"/>
      </w:pPr>
      <w:r>
        <w:rPr>
          <w:rFonts w:ascii="Arial" w:hAnsi="Arial"/>
          <w:b w:val="0"/>
          <w:i w:val="0"/>
          <w:color w:val="18202A"/>
          <w:sz w:val="4"/>
        </w:rPr>
      </w:r>
    </w:p>
    <w:p>
      <w:pPr>
        <w:pStyle w:val="Heading1"/>
        <w:keepNext/>
        <w:spacing w:before="280" w:after="140"/>
      </w:pPr>
      <w:r>
        <w:rPr>
          <w:rFonts w:ascii="Arial" w:hAnsi="Arial"/>
          <w:b/>
          <w:i w:val="0"/>
          <w:color w:val="3157D5"/>
          <w:sz w:val="32"/>
        </w:rPr>
        <w:t>How families can help</w:t>
      </w:r>
    </w:p>
    <w:p>
      <w:pPr>
        <w:pStyle w:val="ListBullet"/>
        <w:spacing w:after="60" w:line="283" w:lineRule="auto"/>
        <w:ind w:left="547" w:hanging="274"/>
      </w:pPr>
      <w:r>
        <w:rPr>
          <w:rFonts w:ascii="Arial" w:hAnsi="Arial"/>
          <w:b w:val="0"/>
          <w:i w:val="0"/>
          <w:color w:val="18202A"/>
          <w:sz w:val="21"/>
        </w:rPr>
        <w:t>Ask: What did your team test? What evidence changed your mind? What will you try next?</w:t>
      </w:r>
    </w:p>
    <w:p>
      <w:pPr>
        <w:pStyle w:val="ListBullet"/>
        <w:spacing w:after="60" w:line="283" w:lineRule="auto"/>
        <w:ind w:left="547" w:hanging="274"/>
      </w:pPr>
      <w:r>
        <w:rPr>
          <w:rFonts w:ascii="Arial" w:hAnsi="Arial"/>
          <w:b w:val="0"/>
          <w:i w:val="0"/>
          <w:color w:val="18202A"/>
          <w:sz w:val="21"/>
        </w:rPr>
        <w:t>Help students arrive prepared for announced events and meet permission deadlines.</w:t>
      </w:r>
    </w:p>
    <w:p>
      <w:pPr>
        <w:pStyle w:val="ListBullet"/>
        <w:spacing w:after="60" w:line="283" w:lineRule="auto"/>
        <w:ind w:left="547" w:hanging="274"/>
      </w:pPr>
      <w:r>
        <w:rPr>
          <w:rFonts w:ascii="Arial" w:hAnsi="Arial"/>
          <w:b w:val="0"/>
          <w:i w:val="0"/>
          <w:color w:val="18202A"/>
          <w:sz w:val="21"/>
        </w:rPr>
        <w:t>Celebrate persistence, documentation, teamwork, and technical growth - not only scores.</w:t>
      </w:r>
    </w:p>
    <w:p>
      <w:pPr>
        <w:pStyle w:val="ListBullet"/>
        <w:spacing w:after="60" w:line="283" w:lineRule="auto"/>
        <w:ind w:left="547" w:hanging="274"/>
      </w:pPr>
      <w:r>
        <w:rPr>
          <w:rFonts w:ascii="Arial" w:hAnsi="Arial"/>
          <w:b w:val="0"/>
          <w:i w:val="0"/>
          <w:color w:val="18202A"/>
          <w:sz w:val="21"/>
        </w:rPr>
        <w:t>Encourage students to solve team problems directly and respectfully before adults take over.</w:t>
      </w:r>
    </w:p>
    <w:p>
      <w:pPr>
        <w:pStyle w:val="ListBullet"/>
        <w:spacing w:after="60" w:line="283" w:lineRule="auto"/>
        <w:ind w:left="547" w:hanging="274"/>
      </w:pPr>
      <w:r>
        <w:rPr>
          <w:rFonts w:ascii="Arial" w:hAnsi="Arial"/>
          <w:b w:val="0"/>
          <w:i w:val="0"/>
          <w:color w:val="18202A"/>
          <w:sz w:val="21"/>
        </w:rPr>
        <w:t>Contact Ms. Lang when health, transportation, accessibility, or family circumstances affect participation.</w:t>
      </w:r>
    </w:p>
    <w:p>
      <w:pPr>
        <w:pStyle w:val="Heading1"/>
        <w:keepNext/>
        <w:spacing w:before="280" w:after="140"/>
      </w:pPr>
      <w:r>
        <w:rPr>
          <w:rFonts w:ascii="Arial" w:hAnsi="Arial"/>
          <w:b/>
          <w:i w:val="0"/>
          <w:color w:val="3157D5"/>
          <w:sz w:val="32"/>
        </w:rPr>
        <w:t>Safety, care, and academic integrity</w:t>
      </w:r>
    </w:p>
    <w:p>
      <w:pPr>
        <w:keepNext w:val="0"/>
        <w:spacing w:before="0" w:after="120" w:line="283" w:lineRule="auto"/>
        <w:jc w:val="left"/>
      </w:pPr>
      <w:r>
        <w:rPr>
          <w:rFonts w:ascii="Arial" w:hAnsi="Arial"/>
          <w:b w:val="0"/>
          <w:i w:val="0"/>
          <w:color w:val="18202A"/>
          <w:sz w:val="22"/>
        </w:rPr>
        <w:t>Students must follow lab safety directions, use batteries and tools responsibly, keep aisles and fields clear, and return shared parts. The robot, code, notebook, and judged explanations must represent student work. Adults and digital tools may support learning, but may not complete competition work for students.</w:t>
      </w:r>
    </w:p>
    <w:p>
      <w:pPr>
        <w:pStyle w:val="Heading1"/>
        <w:keepNext/>
        <w:spacing w:before="280" w:after="140"/>
      </w:pPr>
      <w:r>
        <w:rPr>
          <w:rFonts w:ascii="Arial" w:hAnsi="Arial"/>
          <w:b/>
          <w:i w:val="0"/>
          <w:color w:val="3157D5"/>
          <w:sz w:val="32"/>
        </w:rPr>
        <w:t>Communication</w:t>
      </w:r>
    </w:p>
    <w:p>
      <w:pPr>
        <w:keepNext w:val="0"/>
        <w:spacing w:before="0" w:after="120" w:line="283" w:lineRule="auto"/>
        <w:jc w:val="left"/>
      </w:pPr>
      <w:r>
        <w:rPr>
          <w:rFonts w:ascii="Arial" w:hAnsi="Arial"/>
          <w:b w:val="0"/>
          <w:i w:val="0"/>
          <w:color w:val="18202A"/>
          <w:sz w:val="22"/>
        </w:rPr>
        <w:t>Canvas is the primary home for announcements, assignments, resources, confirmed event details, and due dates. Families should use the school's normal communication channels to contact Ms. Lang.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3F6FA"/>
          </w:tcPr>
          <w:p>
            <w:pPr>
              <w:spacing w:after="0" w:line="276" w:lineRule="auto"/>
            </w:pPr>
            <w:r>
              <w:rPr>
                <w:rFonts w:ascii="Arial" w:hAnsi="Arial"/>
                <w:b/>
                <w:i w:val="0"/>
                <w:color w:val="3157D5"/>
                <w:sz w:val="21"/>
              </w:rPr>
              <w:t xml:space="preserve">FAMILY CHECK-IN  </w:t>
            </w:r>
            <w:r>
              <w:rPr>
                <w:rFonts w:ascii="Arial" w:hAnsi="Arial"/>
                <w:b w:val="0"/>
                <w:i w:val="0"/>
                <w:color w:val="18202A"/>
                <w:sz w:val="21"/>
              </w:rPr>
              <w:t>Please review this syllabus with your student, confirm that Canvas notifications are working, and save confirmed competition dates when they are announced.</w:t>
            </w:r>
          </w:p>
        </w:tc>
      </w:tr>
    </w:tbl>
    <w:p>
      <w:pPr>
        <w:keepNext w:val="0"/>
        <w:spacing w:before="0" w:after="40" w:line="283" w:lineRule="auto"/>
        <w:jc w:val="left"/>
      </w:pPr>
      <w:r>
        <w:rPr>
          <w:rFonts w:ascii="Arial" w:hAnsi="Arial"/>
          <w:b w:val="0"/>
          <w:i w:val="0"/>
          <w:color w:val="18202A"/>
          <w:sz w:val="4"/>
        </w:rPr>
      </w:r>
    </w:p>
    <w:p>
      <w:pPr>
        <w:pStyle w:val="Heading2"/>
        <w:keepNext/>
        <w:spacing w:before="200" w:after="100"/>
      </w:pPr>
      <w:r>
        <w:rPr>
          <w:rFonts w:ascii="Arial" w:hAnsi="Arial"/>
          <w:b/>
          <w:i w:val="0"/>
          <w:color w:val="3157D5"/>
          <w:sz w:val="26"/>
        </w:rPr>
        <w:t>Important links</w:t>
      </w:r>
    </w:p>
    <w:p>
      <w:pPr>
        <w:keepNext w:val="0"/>
        <w:spacing w:before="0" w:after="120" w:line="283" w:lineRule="auto"/>
        <w:jc w:val="left"/>
      </w:pPr>
      <w:r>
        <w:rPr>
          <w:rFonts w:ascii="Arial" w:hAnsi="Arial"/>
          <w:b w:val="0"/>
          <w:i w:val="0"/>
          <w:color w:val="18202A"/>
          <w:sz w:val="20"/>
        </w:rPr>
        <w:t>Curriculum hub: https://spartandesign.github.io/spartandesign-viqrc/</w:t>
      </w:r>
    </w:p>
    <w:p>
      <w:pPr>
        <w:keepNext w:val="0"/>
        <w:spacing w:before="0" w:after="120" w:line="283" w:lineRule="auto"/>
        <w:jc w:val="left"/>
      </w:pPr>
      <w:r>
        <w:rPr>
          <w:rFonts w:ascii="Arial" w:hAnsi="Arial"/>
          <w:b w:val="0"/>
          <w:i w:val="0"/>
          <w:color w:val="18202A"/>
          <w:sz w:val="19"/>
        </w:rPr>
        <w:t>The curriculum hub maintains links to VEX IQ STEM Labs, the current Level Up manual, official team resources, judging guidance, and event information.</w:t>
      </w:r>
    </w:p>
    <w:p>
      <w:pPr>
        <w:keepNext w:val="0"/>
        <w:spacing w:before="0" w:after="120" w:line="283" w:lineRule="auto"/>
        <w:jc w:val="left"/>
      </w:pPr>
      <w:r>
        <w:rPr>
          <w:rFonts w:ascii="Arial" w:hAnsi="Arial"/>
          <w:b w:val="0"/>
          <w:i/>
          <w:color w:val="5C6775"/>
          <w:sz w:val="19"/>
        </w:rPr>
        <w:t>The current game manual and official updates supersede printed summaries.</w:t>
      </w:r>
    </w:p>
    <w:sectPr w:rsidR="00FC693F" w:rsidRPr="0006063C" w:rsidSect="00034616">
      <w:footerReference w:type="default" r:id="rId9"/>
      <w:pgSz w:w="12240" w:h="15840"/>
      <w:pgMar w:top="893" w:right="1152" w:bottom="835"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C6775"/>
        <w:sz w:val="17"/>
      </w:rPr>
      <w:t>Level Up Lab | Mary R. Stauffer Middle School |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8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VEX IQ: Level Up - Family Course Syllabus</dc:title>
  <dc:subject>2026-27 family syllabus for Mary R. Stauffer Middle School</dc:subject>
  <dc:creator>Mary R. Stauffer Middle School</dc:creator>
  <cp:keywords>VEX IQ, VIQRC, Level Up, family syllabus, robotics</cp:keywords>
  <dc:description>generated by python-docx</dc:description>
  <cp:lastModifiedBy/>
  <cp:revision>1</cp:revision>
  <dcterms:created xsi:type="dcterms:W3CDTF">2013-12-23T23:15:00Z</dcterms:created>
  <dcterms:modified xsi:type="dcterms:W3CDTF">2013-12-23T23:15:00Z</dcterms:modified>
  <cp:category/>
</cp:coreProperties>
</file>