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Arial" w:cs="Arial" w:eastAsia="Arial" w:hAnsi="Arial"/>
          <w:b/>
          <w:bCs/>
          <w:color w:val="1F3864"/>
          <w:sz w:val="36"/>
          <w:szCs w:val="36"/>
        </w:rPr>
        <w:t xml:space="preserve">Tabla de mortalidad de México, 2019</w:t>
      </w:r>
    </w:p>
    <w:p>
      <w:pPr>
        <w:pBdr>
          <w:bottom w:val="single" w:color="1F3864" w:sz="8" w:space="4"/>
        </w:pBdr>
        <w:spacing w:after="180"/>
      </w:pPr>
      <w:r>
        <w:rPr>
          <w:rFonts w:ascii="Arial" w:cs="Arial" w:eastAsia="Arial" w:hAnsi="Arial"/>
          <w:color w:val="595959"/>
          <w:sz w:val="21"/>
          <w:szCs w:val="21"/>
        </w:rPr>
        <w:t xml:space="preserve">U2_P1 · Tabla de mortalidad INEGI. Ambos sexos, con cifras de defunciones y nacimientos de INEGI.</w:t>
      </w:r>
    </w:p>
    <w:p>
      <w:pPr>
        <w:pStyle w:val="Heading1"/>
        <w:spacing w:after="110" w:before="260"/>
      </w:pPr>
      <w:r>
        <w:rPr>
          <w:rFonts w:ascii="Arial" w:cs="Arial" w:eastAsia="Arial" w:hAnsi="Arial"/>
          <w:b/>
          <w:bCs/>
          <w:color w:val="1F3864"/>
          <w:sz w:val="25"/>
          <w:szCs w:val="25"/>
        </w:rPr>
        <w:t xml:space="preserve">1. Datos</w:t>
      </w:r>
    </w:p>
    <w:p>
      <w:pPr>
        <w:spacing w:after="120" w:line="276"/>
      </w:pPr>
      <w:r>
        <w:rPr>
          <w:rFonts w:ascii="Arial" w:cs="Arial" w:eastAsia="Arial" w:hAnsi="Arial"/>
          <w:sz w:val="21"/>
          <w:szCs w:val="21"/>
        </w:rPr>
        <w:t xml:space="preserve">La tabla se calculó con bases de datos abiertas de INEGI, guardadas sin modificar en la carpeta bases_de_datos_INEGI/. El año de referencia es 2019, el último año completo antes de la pandemia de COVID-19, que elevó mucho la mortalidad en 2020 y 2021.</w:t>
      </w:r>
    </w:p>
    <w:p>
      <w:pPr>
        <w:pStyle w:val="ListParagraph"/>
        <w:numPr>
          <w:ilvl w:val="0"/>
          <w:numId w:val="2"/>
        </w:numPr>
        <w:spacing w:after="60" w:line="264"/>
      </w:pPr>
      <w:r>
        <w:rPr>
          <w:rFonts w:ascii="Arial" w:cs="Arial" w:eastAsia="Arial" w:hAnsi="Arial"/>
          <w:b/>
          <w:bCs/>
          <w:sz w:val="21"/>
          <w:szCs w:val="21"/>
        </w:rPr>
        <w:t xml:space="preserve">Defunciones: </w:t>
      </w:r>
      <w:r>
        <w:rPr>
          <w:rFonts w:ascii="Arial" w:cs="Arial" w:eastAsia="Arial" w:hAnsi="Arial"/>
          <w:sz w:val="21"/>
          <w:szCs w:val="21"/>
        </w:rPr>
        <w:t xml:space="preserve">Estadísticas de Defunciones Registradas (EDR), datos abiertos 2019, 2020 y 2021. Se cuentan las defunciones ocurridas en 2019 (registradas ese año o después): 729,057 + 14,425 + 997 = 744,479.</w:t>
      </w:r>
    </w:p>
    <w:p>
      <w:pPr>
        <w:pStyle w:val="ListParagraph"/>
        <w:numPr>
          <w:ilvl w:val="0"/>
          <w:numId w:val="2"/>
        </w:numPr>
        <w:spacing w:after="60" w:line="264"/>
      </w:pPr>
      <w:r>
        <w:rPr>
          <w:rFonts w:ascii="Arial" w:cs="Arial" w:eastAsia="Arial" w:hAnsi="Arial"/>
          <w:b/>
          <w:bCs/>
          <w:sz w:val="21"/>
          <w:szCs w:val="21"/>
        </w:rPr>
        <w:t xml:space="preserve">Nacimientos: </w:t>
      </w:r>
      <w:r>
        <w:rPr>
          <w:rFonts w:ascii="Arial" w:cs="Arial" w:eastAsia="Arial" w:hAnsi="Arial"/>
          <w:sz w:val="21"/>
          <w:szCs w:val="21"/>
        </w:rPr>
        <w:t xml:space="preserve">Estadística de Nacimientos Registrados (ENR), datos abiertos 2019, 2020 y 2021. Nacimientos ocurridos en 2019: 1,432,072 + 335,378 + 77,463 = 1,844,913. Se usan los tres años porque muchos nacimientos se registran con retraso.</w:t>
      </w:r>
    </w:p>
    <w:p>
      <w:pPr>
        <w:pStyle w:val="ListParagraph"/>
        <w:numPr>
          <w:ilvl w:val="0"/>
          <w:numId w:val="2"/>
        </w:numPr>
        <w:spacing w:after="60" w:line="264"/>
      </w:pPr>
      <w:r>
        <w:rPr>
          <w:rFonts w:ascii="Arial" w:cs="Arial" w:eastAsia="Arial" w:hAnsi="Arial"/>
          <w:b/>
          <w:bCs/>
          <w:sz w:val="21"/>
          <w:szCs w:val="21"/>
        </w:rPr>
        <w:t xml:space="preserve">Población por edad: </w:t>
      </w:r>
      <w:r>
        <w:rPr>
          <w:rFonts w:ascii="Arial" w:cs="Arial" w:eastAsia="Arial" w:hAnsi="Arial"/>
          <w:sz w:val="21"/>
          <w:szCs w:val="21"/>
        </w:rPr>
        <w:t xml:space="preserve">Censo de Población y Vivienda 2020 (INEGI), población por edad simple. Es el denominador de qx a partir del año de edad, porque con solo nacimientos y defunciones no se puede calcular el riesgo de morir de las demás edades.</w:t>
      </w:r>
    </w:p>
    <w:p>
      <w:pPr>
        <w:pStyle w:val="Heading1"/>
        <w:spacing w:after="110" w:before="260"/>
      </w:pPr>
      <w:r>
        <w:rPr>
          <w:rFonts w:ascii="Arial" w:cs="Arial" w:eastAsia="Arial" w:hAnsi="Arial"/>
          <w:b/>
          <w:bCs/>
          <w:color w:val="1F3864"/>
          <w:sz w:val="25"/>
          <w:szCs w:val="25"/>
        </w:rPr>
        <w:t xml:space="preserve">2. Método</w:t>
      </w:r>
    </w:p>
    <w:p>
      <w:pPr>
        <w:spacing w:after="120" w:line="276"/>
      </w:pPr>
      <w:r>
        <w:rPr>
          <w:rFonts w:ascii="Arial" w:cs="Arial" w:eastAsia="Arial" w:hAnsi="Arial"/>
          <w:sz w:val="21"/>
          <w:szCs w:val="21"/>
        </w:rPr>
        <w:t xml:space="preserve">La tabla es de periodo (generación ficticia): se aplica a 100,000 recién nacidos la mortalidad por edad observada en 2019. Sigue el formato de la plantilla de clase: x, qx, lx, dx, Lx, Tx y ex.</w:t>
      </w:r>
    </w:p>
    <w:p>
      <w:pPr>
        <w:spacing w:after="50"/>
        <w:ind w:left="540"/>
      </w:pPr>
      <w:r>
        <w:rPr>
          <w:rFonts w:ascii="Consolas" w:cs="Consolas" w:eastAsia="Consolas" w:hAnsi="Consolas"/>
          <w:sz w:val="20"/>
          <w:szCs w:val="20"/>
        </w:rPr>
        <w:t xml:space="preserve">q(0) = defunciones de menores de 1 año / nacimientos</w:t>
      </w:r>
    </w:p>
    <w:p>
      <w:pPr>
        <w:spacing w:after="50"/>
        <w:ind w:left="540"/>
      </w:pPr>
      <w:r>
        <w:rPr>
          <w:rFonts w:ascii="Consolas" w:cs="Consolas" w:eastAsia="Consolas" w:hAnsi="Consolas"/>
          <w:sz w:val="20"/>
          <w:szCs w:val="20"/>
        </w:rPr>
        <w:t xml:space="preserve">q(x) = defunciones / (población + defunciones / 2),   x = 1, …, 99</w:t>
      </w:r>
    </w:p>
    <w:p>
      <w:pPr>
        <w:spacing w:after="50"/>
        <w:ind w:left="540"/>
      </w:pPr>
      <w:r>
        <w:rPr>
          <w:rFonts w:ascii="Consolas" w:cs="Consolas" w:eastAsia="Consolas" w:hAnsi="Consolas"/>
          <w:sz w:val="20"/>
          <w:szCs w:val="20"/>
        </w:rPr>
        <w:t xml:space="preserve">q(100) = 1   (100 y más es el grupo abierto)</w:t>
      </w:r>
    </w:p>
    <w:p>
      <w:pPr>
        <w:spacing w:after="50"/>
        <w:ind w:left="540"/>
      </w:pPr>
      <w:r>
        <w:rPr>
          <w:rFonts w:ascii="Consolas" w:cs="Consolas" w:eastAsia="Consolas" w:hAnsi="Consolas"/>
          <w:sz w:val="20"/>
          <w:szCs w:val="20"/>
        </w:rPr>
        <w:t xml:space="preserve">l0 = 100,000;   dx = lx · qx;   l(x+1) = lx − dx</w:t>
      </w:r>
    </w:p>
    <w:p>
      <w:pPr>
        <w:spacing w:after="50"/>
        <w:ind w:left="540"/>
      </w:pPr>
      <w:r>
        <w:rPr>
          <w:rFonts w:ascii="Consolas" w:cs="Consolas" w:eastAsia="Consolas" w:hAnsi="Consolas"/>
          <w:sz w:val="20"/>
          <w:szCs w:val="20"/>
        </w:rPr>
        <w:t xml:space="preserve">Lx = l(x+1) + dx / 2;   Tx = suma de Lx desde x;   ex = Tx / lx</w:t>
      </w:r>
    </w:p>
    <w:p>
      <w:pPr>
        <w:spacing w:after="120" w:before="80" w:line="276"/>
      </w:pPr>
      <w:r>
        <w:rPr>
          <w:rFonts w:ascii="Arial" w:cs="Arial" w:eastAsia="Arial" w:hAnsi="Arial"/>
          <w:sz w:val="21"/>
          <w:szCs w:val="21"/>
        </w:rPr>
        <w:t xml:space="preserve">Dos ajustes a los datos, visibles en el Excel: (a) las defunciones con edad no especificada (0.5 %) se reparten entre las edades en proporción; (b) el Censo concentra población en edades redondas (a los 30 años hay 2.37 millones de personas y a los 31 solo 1.54 millones), lo que haría zigzaguear qx, así que de 10 a 97 años se usa una media móvil de 5 edades en defunciones y población (interruptor en la hoja de la tabla). El suavizado cambia e0 en 0.3 años. Como en la plantilla, dx y Lx se redondean a enteros.</w:t>
      </w:r>
    </w:p>
    <w:p>
      <w:pPr>
        <w:pStyle w:val="Heading1"/>
        <w:spacing w:after="110" w:before="260"/>
      </w:pPr>
      <w:r>
        <w:rPr>
          <w:rFonts w:ascii="Arial" w:cs="Arial" w:eastAsia="Arial" w:hAnsi="Arial"/>
          <w:b/>
          <w:bCs/>
          <w:color w:val="1F3864"/>
          <w:sz w:val="25"/>
          <w:szCs w:val="25"/>
        </w:rPr>
        <w:t xml:space="preserve">3. Resultados</w:t>
      </w:r>
    </w:p>
    <w:p>
      <w:pPr>
        <w:spacing w:after="120" w:line="276"/>
      </w:pPr>
      <w:r>
        <w:rPr>
          <w:rFonts w:ascii="Arial" w:cs="Arial" w:eastAsia="Arial" w:hAnsi="Arial"/>
          <w:sz w:val="21"/>
          <w:szCs w:val="21"/>
        </w:rPr>
        <w:t xml:space="preserve">La esperanza de vida al nacer es de 76.0 años (hombres 72.9; mujeres 79.1) y a los 65 años les quedan 18.7 años más. La mortalidad infantil es de 12.4 por mil. De cada 100,000 nacidos, 79,415 llegan a los 65 años y 51,635 a los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Indicador</w:t>
            </w:r>
          </w:p>
        </w:tc>
        <w:tc>
          <w:tcPr>
            <w:tcW w:type="dxa" w:w="30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Valor</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e0: esperanza de vida al nacer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75.99</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e1: esperanza de vida a 1 año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75.94</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e65: esperanza de vida a los 65 años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18.74</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q(0): mortalidad infantil (por mil)</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12.4</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5q0: probabilidad de morir antes de los 5 años (por mil)</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14.7</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Probabilidad de llegar con vida a los 65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79.4 %</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Probabilidad de llegar con vida a los 80 años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51.6 %</w:t>
            </w:r>
          </w:p>
        </w:tc>
      </w:tr>
      <w:tr>
        <w:tc>
          <w:tcPr>
            <w:tcW w:type="dxa" w:w="63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Edad hasta la que sobrevive al menos la mitad (años cumplidos)</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80</w:t>
            </w:r>
          </w:p>
        </w:tc>
      </w:tr>
    </w:tbl>
    <w:p>
      <w:pPr>
        <w:spacing w:after="60"/>
      </w:pPr>
      <w:r>
        <w:rPr>
          <w:rFonts w:ascii="Arial" w:cs="Arial" w:eastAsia="Arial" w:hAnsi="Arial"/>
          <w:sz w:val="21"/>
          <w:szCs w:val="21"/>
        </w:rPr>
        <w:t xml:space="preserve"/>
      </w:r>
    </w:p>
    <w:p>
      <w:pPr>
        <w:keepNext/>
        <w:spacing w:after="120" w:line="276"/>
      </w:pPr>
      <w:r>
        <w:rPr>
          <w:rFonts w:ascii="Arial" w:cs="Arial" w:eastAsia="Arial" w:hAnsi="Arial"/>
          <w:sz w:val="21"/>
          <w:szCs w:val="21"/>
        </w:rPr>
        <w:t xml:space="preserve">Extracto de la tabla (la tabla completa de 0 a 100 años está en 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400"/>
        <w:gridCol w:w="1400"/>
        <w:gridCol w:w="1560"/>
        <w:gridCol w:w="1200"/>
      </w:tblGrid>
      <w:tr>
        <w:trPr>
          <w:tblHeader/>
        </w:trPr>
        <w:tc>
          <w:tcPr>
            <w:tcW w:type="dxa" w:w="9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x</w:t>
            </w:r>
          </w:p>
        </w:tc>
        <w:tc>
          <w:tcPr>
            <w:tcW w:type="dxa" w:w="15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qx</w:t>
            </w:r>
          </w:p>
        </w:tc>
        <w:tc>
          <w:tcPr>
            <w:tcW w:type="dxa" w:w="14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lx</w:t>
            </w:r>
          </w:p>
        </w:tc>
        <w:tc>
          <w:tcPr>
            <w:tcW w:type="dxa" w:w="14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dx</w:t>
            </w:r>
          </w:p>
        </w:tc>
        <w:tc>
          <w:tcPr>
            <w:tcW w:type="dxa" w:w="14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Lx</w:t>
            </w:r>
          </w:p>
        </w:tc>
        <w:tc>
          <w:tcPr>
            <w:tcW w:type="dxa" w:w="156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Tx</w:t>
            </w:r>
          </w:p>
        </w:tc>
        <w:tc>
          <w:tcPr>
            <w:tcW w:type="dxa" w:w="1200"/>
            <w:tcBorders>
              <w:top w:val="single" w:color="BFBFBF" w:sz="4"/>
              <w:left w:val="single" w:color="BFBFBF" w:sz="4"/>
              <w:bottom w:val="single" w:color="BFBFBF" w:sz="4"/>
              <w:right w:val="single" w:color="BFBFBF" w:sz="4"/>
            </w:tcBorders>
            <w:shd w:fill="DCE3F0" w:color="auto" w:val="clear"/>
            <w:tcMar>
              <w:top w:type="dxa" w:w="45"/>
              <w:left w:type="dxa" w:w="80"/>
              <w:bottom w:type="dxa" w:w="45"/>
              <w:right w:type="dxa" w:w="80"/>
            </w:tcMar>
          </w:tcPr>
          <w:p>
            <w:pPr>
              <w:keepNext/>
              <w:jc w:val="center"/>
            </w:pPr>
            <w:r>
              <w:rPr>
                <w:rFonts w:ascii="Arial" w:cs="Arial" w:eastAsia="Arial" w:hAnsi="Arial"/>
                <w:b/>
                <w:bCs/>
                <w:sz w:val="18"/>
                <w:szCs w:val="18"/>
              </w:rPr>
              <w:t xml:space="preserve">ex</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0.012424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100,000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1,242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99,379</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7,598,754</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0.001121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98,758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111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98,703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7,499,375</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75.94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0.000254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98,528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98,516</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7,104,934</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72.11</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10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0.000235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98,414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98,403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6,612,582</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67.19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0.001233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97,849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97,789</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5,630,439</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57.54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30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0.001883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96,282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181</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96,192</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4,659,246</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48.39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40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0.002592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94,210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244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94,088</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3,706,268</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39.34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0.004867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90,854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442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90,633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2,779,287</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30.59</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60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0.010713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84,517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905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84,065</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1,898,558</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22.46</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0.015162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79,415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1,204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78,813</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1,488,142</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18.74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70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0.022152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72,613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1,609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71,809</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1,107,180</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15.25</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0.053244</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51,635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2,749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50,261</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476,640</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9.23</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0.134136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21,789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2,923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20,328</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107,740</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4.94</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99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0.184348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4,335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799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3,936</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5,704</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1.32</w:t>
            </w:r>
          </w:p>
        </w:tc>
      </w:tr>
      <w:tr>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Arial" w:cs="Arial" w:eastAsia="Arial" w:hAnsi="Arial"/>
                <w:b/>
                <w:bCs/>
                <w:sz w:val="18"/>
                <w:szCs w:val="18"/>
              </w:rPr>
              <w:t xml:space="preserve">100+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1.000000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3,536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3,536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1,768</w:t>
            </w:r>
          </w:p>
        </w:tc>
        <w:tc>
          <w:tcPr>
            <w:tcW w:type="dxa" w:w="156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1,768</w:t>
            </w:r>
          </w:p>
        </w:tc>
        <w:tc>
          <w:tcPr>
            <w:tcW w:type="dxa" w:w="1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Arial" w:cs="Arial" w:eastAsia="Arial" w:hAnsi="Arial"/>
                <w:b w:val="false"/>
                <w:bCs w:val="false"/>
                <w:sz w:val="18"/>
                <w:szCs w:val="18"/>
              </w:rPr>
              <w:t xml:space="preserve">0.50</w:t>
            </w:r>
          </w:p>
        </w:tc>
      </w:tr>
    </w:tbl>
    <w:p>
      <w:pPr>
        <w:spacing w:after="80"/>
      </w:pPr>
      <w:r>
        <w:rPr>
          <w:rFonts w:ascii="Arial" w:cs="Arial" w:eastAsia="Arial" w:hAnsi="Arial"/>
          <w:sz w:val="21"/>
          <w:szCs w:val="21"/>
        </w:rPr>
        <w:t xml:space="preserve"/>
      </w:r>
    </w:p>
    <w:p>
      <w:pPr>
        <w:keepNext/>
        <w:spacing w:after="30" w:before="100"/>
        <w:jc w:val="center"/>
      </w:pPr>
      <w:r>
        <w:drawing>
          <wp:inline distT="0" distB="0" distL="0" distR="0">
            <wp:extent cx="4476750" cy="2486025"/>
            <wp:effectExtent t="0" r="0" b="0" l="0"/>
            <wp:docPr id="1" name="lx_sobrevivientes.png" descr="Figura 1. Sobrevivientes lx de una generación ficticia de 100,000 nacidos." title="lx_sobrevivi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1. Sobrevivientes lx de una generación ficticia de 100,000 nacidos.</w:t>
      </w:r>
    </w:p>
    <w:p>
      <w:pPr>
        <w:keepNext/>
        <w:spacing w:after="30" w:before="100"/>
        <w:jc w:val="center"/>
      </w:pPr>
      <w:r>
        <w:drawing>
          <wp:inline distT="0" distB="0" distL="0" distR="0">
            <wp:extent cx="4476750" cy="2486025"/>
            <wp:effectExtent t="0" r="0" b="0" l="0"/>
            <wp:docPr id="1" name="qx_log.png" descr="Figura 2. Probabilidad de morir qx por edad (escala logarítmica)." title="qx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2. Probabilidad de morir qx por edad (escala logarítmica).</w:t>
      </w:r>
    </w:p>
    <w:p>
      <w:pPr>
        <w:keepNext/>
        <w:spacing w:after="30" w:before="100"/>
        <w:jc w:val="center"/>
      </w:pPr>
      <w:r>
        <w:drawing>
          <wp:inline distT="0" distB="0" distL="0" distR="0">
            <wp:extent cx="4476750" cy="2486025"/>
            <wp:effectExtent t="0" r="0" b="0" l="0"/>
            <wp:docPr id="1" name="dx_defunciones.png" descr="Figura 3. Defunciones dx de la tabla, por edad." title="dx_defun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3. Defunciones dx de la tabla, por edad.</w:t>
      </w:r>
    </w:p>
    <w:p>
      <w:pPr>
        <w:pStyle w:val="Heading1"/>
        <w:spacing w:after="110" w:before="260"/>
      </w:pPr>
      <w:r>
        <w:rPr>
          <w:rFonts w:ascii="Arial" w:cs="Arial" w:eastAsia="Arial" w:hAnsi="Arial"/>
          <w:b/>
          <w:bCs/>
          <w:color w:val="1F3864"/>
          <w:sz w:val="25"/>
          <w:szCs w:val="25"/>
        </w:rPr>
        <w:t xml:space="preserve">4. Análisis</w:t>
      </w:r>
    </w:p>
    <w:p>
      <w:pPr>
        <w:spacing w:after="120" w:line="276"/>
      </w:pPr>
      <w:r>
        <w:rPr>
          <w:rFonts w:ascii="Arial" w:cs="Arial" w:eastAsia="Arial" w:hAnsi="Arial"/>
          <w:b/>
          <w:bCs/>
          <w:sz w:val="21"/>
          <w:szCs w:val="21"/>
        </w:rPr>
        <w:t xml:space="preserve">Primer año de vida. </w:t>
      </w:r>
      <w:r>
        <w:rPr>
          <w:rFonts w:ascii="Arial" w:cs="Arial" w:eastAsia="Arial" w:hAnsi="Arial"/>
          <w:sz w:val="21"/>
          <w:szCs w:val="21"/>
        </w:rPr>
        <w:t xml:space="preserve">De 100,000 nacidos mueren 1,242 antes de cumplir un año (12.4 por mil), el riesgo más alto de la vida hasta los 62 años. Aun así, la esperanza de vida casi no cambia entre el nacimiento (75.99) y el primer año (75.94), señal de que la mortalidad infantil ya es relativamente baja. El riesgo cae rápido y llega a su mínimo a los 8 años (qx = 0.00020).</w:t>
      </w:r>
    </w:p>
    <w:p>
      <w:pPr>
        <w:spacing w:after="120" w:line="276"/>
      </w:pPr>
      <w:r>
        <w:rPr>
          <w:rFonts w:ascii="Arial" w:cs="Arial" w:eastAsia="Arial" w:hAnsi="Arial"/>
          <w:b/>
          <w:bCs/>
          <w:sz w:val="21"/>
          <w:szCs w:val="21"/>
        </w:rPr>
        <w:t xml:space="preserve">Vida adulta. </w:t>
      </w:r>
      <w:r>
        <w:rPr>
          <w:rFonts w:ascii="Arial" w:cs="Arial" w:eastAsia="Arial" w:hAnsi="Arial"/>
          <w:sz w:val="21"/>
          <w:szCs w:val="21"/>
        </w:rPr>
        <w:t xml:space="preserve">Desde la adolescencia qx crece de forma casi exponencial: 0.0049 a los 50 años y 0.053 a los 80. Al menos la mitad de la generación sobrevive hasta los 80 años y las defunciones adultas se concentran alrededor de los 83 años (Figura 3).</w:t>
      </w:r>
    </w:p>
    <w:p>
      <w:pPr>
        <w:spacing w:after="120" w:line="276"/>
      </w:pPr>
      <w:r>
        <w:rPr>
          <w:rFonts w:ascii="Arial" w:cs="Arial" w:eastAsia="Arial" w:hAnsi="Arial"/>
          <w:b/>
          <w:bCs/>
          <w:sz w:val="21"/>
          <w:szCs w:val="21"/>
        </w:rPr>
        <w:t xml:space="preserve">Diferencias por sexo. </w:t>
      </w:r>
      <w:r>
        <w:rPr>
          <w:rFonts w:ascii="Arial" w:cs="Arial" w:eastAsia="Arial" w:hAnsi="Arial"/>
          <w:sz w:val="21"/>
          <w:szCs w:val="21"/>
        </w:rPr>
        <w:t xml:space="preserve">Con las mismas fórmulas aplicadas por separado a hombres y mujeres, la e0 es 72.9 y 79.1 años: las mujeres viven 6.2 años más. Entre los 15 y los 39 años la probabilidad de morir de los hombres es en promedio 3.4 veces la de las mujeres, con un máximo de 4.0 veces a los 24 años (Figura 4): en esas edades pesan las muertes violentas y por accidentes.</w:t>
      </w:r>
    </w:p>
    <w:p>
      <w:pPr>
        <w:keepNext/>
        <w:spacing w:after="30" w:before="100"/>
        <w:jc w:val="center"/>
      </w:pPr>
      <w:r>
        <w:drawing>
          <wp:inline distT="0" distB="0" distL="0" distR="0">
            <wp:extent cx="4476750" cy="2486025"/>
            <wp:effectExtent t="0" r="0" b="0" l="0"/>
            <wp:docPr id="1" name="sobremortalidad_masculina.png" descr="Figura 4. Cociente entre la probabilidad de morir de hombres y de mujeres." title="sobremortalidad_masculi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4. Cociente entre la probabilidad de morir de hombres y de mujeres.</w:t>
      </w:r>
    </w:p>
    <w:p>
      <w:pPr>
        <w:spacing w:after="120" w:line="276"/>
      </w:pPr>
      <w:r>
        <w:rPr>
          <w:rFonts w:ascii="Arial" w:cs="Arial" w:eastAsia="Arial" w:hAnsi="Arial"/>
          <w:b/>
          <w:bCs/>
          <w:sz w:val="21"/>
          <w:szCs w:val="21"/>
        </w:rPr>
        <w:t xml:space="preserve">Comparación con CONAPO. </w:t>
      </w:r>
      <w:r>
        <w:rPr>
          <w:rFonts w:ascii="Arial" w:cs="Arial" w:eastAsia="Arial" w:hAnsi="Arial"/>
          <w:sz w:val="21"/>
          <w:szCs w:val="21"/>
        </w:rPr>
        <w:t xml:space="preserve">Como referencia externa (no se usa en la tabla), CONAPO estima para 2019 una e0 de 74.8 años (hombres 71.8; mujeres 78.0). La tabla con cifras de INEGI queda 1.1 años por encima (Figura 5). Es la dirección esperada si las defunciones registradas están algo subregistradas y si el Censo exagera la población de edades avanzadas, aunque con estas bases no puedo cuantificar cuánto aporta cada causa.</w:t>
      </w:r>
    </w:p>
    <w:p>
      <w:pPr>
        <w:keepNext/>
        <w:spacing w:after="30" w:before="100"/>
        <w:jc w:val="center"/>
      </w:pPr>
      <w:r>
        <w:drawing>
          <wp:inline distT="0" distB="0" distL="0" distR="0">
            <wp:extent cx="4476750" cy="2486025"/>
            <wp:effectExtent t="0" r="0" b="0" l="0"/>
            <wp:docPr id="1" name="e0_comparacion_conapo.png" descr="Figura 5. e0 con datos de INEGI frente a la e0 oficial de CONAPO para 2019." title="e0_comparacion_cona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486025"/>
                    </a:xfrm>
                    <a:prstGeom prst="rect">
                      <a:avLst/>
                    </a:prstGeom>
                  </pic:spPr>
                </pic:pic>
              </a:graphicData>
            </a:graphic>
          </wp:inline>
        </w:drawing>
      </w:r>
    </w:p>
    <w:p>
      <w:pPr>
        <w:spacing w:after="150"/>
        <w:jc w:val="center"/>
      </w:pPr>
      <w:r>
        <w:rPr>
          <w:rFonts w:ascii="Arial" w:cs="Arial" w:eastAsia="Arial" w:hAnsi="Arial"/>
          <w:i/>
          <w:iCs/>
          <w:color w:val="595959"/>
          <w:sz w:val="17"/>
          <w:szCs w:val="17"/>
        </w:rPr>
        <w:t xml:space="preserve">Figura 5. e0 con datos de INEGI frente a la e0 oficial de CONAPO para 2019.</w:t>
      </w:r>
    </w:p>
    <w:p>
      <w:pPr>
        <w:pStyle w:val="Heading1"/>
        <w:spacing w:after="110" w:before="260"/>
      </w:pPr>
      <w:r>
        <w:rPr>
          <w:rFonts w:ascii="Arial" w:cs="Arial" w:eastAsia="Arial" w:hAnsi="Arial"/>
          <w:b/>
          <w:bCs/>
          <w:color w:val="1F3864"/>
          <w:sz w:val="25"/>
          <w:szCs w:val="25"/>
        </w:rPr>
        <w:t xml:space="preserve">5. Limitaciones</w:t>
      </w:r>
    </w:p>
    <w:p>
      <w:pPr>
        <w:pStyle w:val="ListParagraph"/>
        <w:numPr>
          <w:ilvl w:val="0"/>
          <w:numId w:val="2"/>
        </w:numPr>
        <w:spacing w:after="60" w:line="264"/>
      </w:pPr>
      <w:r>
        <w:rPr>
          <w:rFonts w:ascii="Arial" w:cs="Arial" w:eastAsia="Arial" w:hAnsi="Arial"/>
          <w:sz w:val="21"/>
          <w:szCs w:val="21"/>
        </w:rPr>
        <w:t xml:space="preserve">Es una tabla de periodo (generación ficticia), no el seguimiento de una generación real: con las bases de INEGI las defunciones por edad solo existen desde 1990.</w:t>
      </w:r>
    </w:p>
    <w:p>
      <w:pPr>
        <w:pStyle w:val="ListParagraph"/>
        <w:numPr>
          <w:ilvl w:val="0"/>
          <w:numId w:val="2"/>
        </w:numPr>
        <w:spacing w:after="60" w:line="264"/>
      </w:pPr>
      <w:r>
        <w:rPr>
          <w:rFonts w:ascii="Arial" w:cs="Arial" w:eastAsia="Arial" w:hAnsi="Arial"/>
          <w:sz w:val="21"/>
          <w:szCs w:val="21"/>
        </w:rPr>
        <w:t xml:space="preserve">El Censo sobrestima la población de edades avanzadas: a partir de ~90 años qx se aplana y 3.5 % de los nacidos llegaría a los 100 años, lo cual no es creíble. Con qx = 1 en el grupo abierto, e100 = 0.5 años.</w:t>
      </w:r>
    </w:p>
    <w:p>
      <w:pPr>
        <w:pStyle w:val="ListParagraph"/>
        <w:numPr>
          <w:ilvl w:val="0"/>
          <w:numId w:val="2"/>
        </w:numPr>
        <w:spacing w:after="60" w:line="264"/>
      </w:pPr>
      <w:r>
        <w:rPr>
          <w:rFonts w:ascii="Arial" w:cs="Arial" w:eastAsia="Arial" w:hAnsi="Arial"/>
          <w:sz w:val="21"/>
          <w:szCs w:val="21"/>
        </w:rPr>
        <w:t xml:space="preserve">Las defunciones y los nacimientos son registros administrativos: pueden tener subregistro, y los nacimientos de 2019 se siguen registrando después de 2021, por lo que q(0) puede estar algo sobrestimada.</w:t>
      </w:r>
    </w:p>
    <w:p>
      <w:pPr>
        <w:pStyle w:val="ListParagraph"/>
        <w:numPr>
          <w:ilvl w:val="0"/>
          <w:numId w:val="2"/>
        </w:numPr>
        <w:spacing w:after="60" w:line="264"/>
      </w:pPr>
      <w:r>
        <w:rPr>
          <w:rFonts w:ascii="Arial" w:cs="Arial" w:eastAsia="Arial" w:hAnsi="Arial"/>
          <w:sz w:val="21"/>
          <w:szCs w:val="21"/>
        </w:rPr>
        <w:t xml:space="preserve">Defunciones de 2019 y población de marzo de 2020 no son del mismo momento; la diferencia es de unos meses de crecimiento de la población.</w:t>
      </w:r>
    </w:p>
    <w:p>
      <w:pPr>
        <w:spacing w:before="120"/>
      </w:pPr>
      <w:r>
        <w:rPr>
          <w:rFonts w:ascii="Arial" w:cs="Arial" w:eastAsia="Arial" w:hAnsi="Arial"/>
          <w:sz w:val="21"/>
          <w:szCs w:val="21"/>
        </w:rPr>
        <w:t xml:space="preserve">Archivos: T_Mortalidad_INEGI_Mexico_2019.xlsx (tabla de la plantilla y hojas con los datos usados), los gráficos en PNG y las bases originales de INEGI en bases_de_datos_INEGI/.</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9a70f89146d46ea85dfc6169e529e108401c39.png"/><Relationship Id="rId9" Type="http://schemas.openxmlformats.org/officeDocument/2006/relationships/image" Target="media/7afa6d35aba8640e07de555a1ffe5126592d7d5e.png"/><Relationship Id="rId10" Type="http://schemas.openxmlformats.org/officeDocument/2006/relationships/image" Target="media/948326627ce970fcb768e4c2a5ac13e4b48bcd88.png"/><Relationship Id="rId11" Type="http://schemas.openxmlformats.org/officeDocument/2006/relationships/image" Target="media/d61bcec6ac22697115a2342f0e01305a86562e51.png"/><Relationship Id="rId12" Type="http://schemas.openxmlformats.org/officeDocument/2006/relationships/image" Target="media/0bb4a78a9614b8cb8d280eb132d94e46086759c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Tabla de mortalidad de México, 2019 (INEGI)</dc:title>
  <dc:creator>Tarea U2_P1</dc:creator>
  <cp:lastModifiedBy>Un-named</cp:lastModifiedBy>
  <cp:revision>1</cp:revision>
  <dcterms:created xsi:type="dcterms:W3CDTF">2026-10-07T23:55:36.302Z</dcterms:created>
  <dcterms:modified xsi:type="dcterms:W3CDTF">2026-10-07T23:55:36.302Z</dcterms:modified>
</cp:coreProperties>
</file>

<file path=docProps/custom.xml><?xml version="1.0" encoding="utf-8"?>
<Properties xmlns="http://schemas.openxmlformats.org/officeDocument/2006/custom-properties" xmlns:vt="http://schemas.openxmlformats.org/officeDocument/2006/docPropsVTypes"/>
</file>