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6"/>
          <w:szCs w:val="36"/>
        </w:rPr>
        <w:t xml:space="preserve">Tablas de mortalidad de generaciones mexicanas</w:t>
      </w:r>
    </w:p>
    <w:p>
      <w:pPr>
        <w:pBdr>
          <w:bottom w:val="single" w:color="1F3864" w:sz="8" w:space="4"/>
        </w:pBdr>
        <w:spacing w:after="200"/>
      </w:pPr>
      <w:r>
        <w:rPr>
          <w:rFonts w:ascii="Arial" w:cs="Arial" w:eastAsia="Arial" w:hAnsi="Arial"/>
          <w:color w:val="595959"/>
          <w:sz w:val="21"/>
          <w:szCs w:val="21"/>
        </w:rPr>
        <w:t xml:space="preserve">Generaciones 1950, 1960, 1970, 1980, 1990 y 2000. Método y validación. Datos: ONU, World Population Prospects 2024.</w:t>
      </w:r>
    </w:p>
    <w:p>
      <w:pPr>
        <w:pStyle w:val="Heading1"/>
        <w:spacing w:after="120" w:before="280"/>
      </w:pPr>
      <w:r>
        <w:rPr>
          <w:rFonts w:ascii="Arial" w:cs="Arial" w:eastAsia="Arial" w:hAnsi="Arial"/>
          <w:b/>
          <w:bCs/>
          <w:color w:val="1F3864"/>
          <w:sz w:val="26"/>
          <w:szCs w:val="26"/>
        </w:rPr>
        <w:t xml:space="preserve">1. Qué se hizo</w:t>
      </w:r>
    </w:p>
    <w:p>
      <w:pPr>
        <w:spacing w:after="120" w:line="276"/>
      </w:pPr>
      <w:r>
        <w:rPr>
          <w:rFonts w:ascii="Arial" w:cs="Arial" w:eastAsia="Arial" w:hAnsi="Arial"/>
          <w:sz w:val="21"/>
          <w:szCs w:val="21"/>
        </w:rPr>
        <w:t xml:space="preserve">Con los datos de la ONU se construyó una tabla de mortalidad para cada una de seis generaciones mexicanas (nacidas en 1950, 1960, 1970, 1980, 1990 y 2000), por separado para hombres, mujeres y ambos sexos, con radix de 100,000. Las tablas están en un libro de Excel donde todo el cálculo son fórmulas vivas: si se cambia el radix, el año de la generación o un dato de entrada, las tablas, los indicadores y los gráficos se recalculan. El libro incluye además una hoja de comparación entre generaciones y una de validación contra la esperanza de vida oficial de la ONU.</w:t>
      </w:r>
    </w:p>
    <w:p>
      <w:pPr>
        <w:pStyle w:val="Heading1"/>
        <w:spacing w:after="120" w:before="280"/>
      </w:pPr>
      <w:r>
        <w:rPr>
          <w:rFonts w:ascii="Arial" w:cs="Arial" w:eastAsia="Arial" w:hAnsi="Arial"/>
          <w:b/>
          <w:bCs/>
          <w:color w:val="1F3864"/>
          <w:sz w:val="26"/>
          <w:szCs w:val="26"/>
        </w:rPr>
        <w:t xml:space="preserve">2. Datos</w:t>
      </w:r>
    </w:p>
    <w:p>
      <w:pPr>
        <w:spacing w:after="120" w:line="276"/>
      </w:pPr>
      <w:r>
        <w:rPr>
          <w:rFonts w:ascii="Arial" w:cs="Arial" w:eastAsia="Arial" w:hAnsi="Arial"/>
          <w:sz w:val="21"/>
          <w:szCs w:val="21"/>
        </w:rPr>
        <w:t xml:space="preserve">Se descargaron los archivos CSV de la ONU (World Population Prospects 2024, variante media) y se conservó solo México: población a mitad de año y defunciones, ambas por edad simple (0 a 100+) y sexo, de 1950 a 2100, en miles de personas. De 1950 a 2023 son estimaciones de la ONU y de 2024 a 2100 son proyecciones. Para validar se usaron también la esperanza de vida al nacer oficial (LEx) y la qx de las tablas de vida completas de la ONU. Los CSV filtrados están en la carpeta datos/.</w:t>
      </w:r>
    </w:p>
    <w:p>
      <w:pPr>
        <w:pStyle w:val="Heading1"/>
        <w:spacing w:after="120" w:before="280"/>
      </w:pPr>
      <w:r>
        <w:rPr>
          <w:rFonts w:ascii="Arial" w:cs="Arial" w:eastAsia="Arial" w:hAnsi="Arial"/>
          <w:b/>
          <w:bCs/>
          <w:color w:val="1F3864"/>
          <w:sz w:val="26"/>
          <w:szCs w:val="26"/>
        </w:rPr>
        <w:t xml:space="preserve">3. Método</w:t>
      </w:r>
    </w:p>
    <w:p>
      <w:pPr>
        <w:spacing w:after="120" w:line="276"/>
      </w:pPr>
      <w:r>
        <w:rPr>
          <w:rFonts w:ascii="Arial" w:cs="Arial" w:eastAsia="Arial" w:hAnsi="Arial"/>
          <w:sz w:val="21"/>
          <w:szCs w:val="21"/>
        </w:rPr>
        <w:t xml:space="preserve">Una generación es el conjunto de personas nacidas en el año g, y se observa a la edad x en el año calendario g + x. Para cada edad se toman la población a mitad de año y las defunciones de esa edad en ese año, y se aplican estas fórmulas:</w:t>
      </w:r>
    </w:p>
    <w:p>
      <w:pPr>
        <w:spacing w:after="60"/>
        <w:ind w:left="540"/>
      </w:pPr>
      <w:r>
        <w:rPr>
          <w:rFonts w:ascii="Consolas" w:cs="Consolas" w:eastAsia="Consolas" w:hAnsi="Consolas"/>
          <w:sz w:val="20"/>
          <w:szCs w:val="20"/>
        </w:rPr>
        <w:t xml:space="preserve">qx = defunciones / (población a mitad de año + defunciones / 2)</w:t>
      </w:r>
    </w:p>
    <w:p>
      <w:pPr>
        <w:spacing w:after="60"/>
        <w:ind w:left="540"/>
      </w:pPr>
      <w:r>
        <w:rPr>
          <w:rFonts w:ascii="Consolas" w:cs="Consolas" w:eastAsia="Consolas" w:hAnsi="Consolas"/>
          <w:sz w:val="20"/>
          <w:szCs w:val="20"/>
        </w:rPr>
        <w:t xml:space="preserve">l0 = 100,000;   l(x+1) = lx − dx;   dx = lx · qx</w:t>
      </w:r>
    </w:p>
    <w:p>
      <w:pPr>
        <w:spacing w:after="60"/>
        <w:ind w:left="540"/>
      </w:pPr>
      <w:r>
        <w:rPr>
          <w:rFonts w:ascii="Consolas" w:cs="Consolas" w:eastAsia="Consolas" w:hAnsi="Consolas"/>
          <w:sz w:val="20"/>
          <w:szCs w:val="20"/>
        </w:rPr>
        <w:t xml:space="preserve">Lx = l(x+1) + dx / 2</w:t>
      </w:r>
    </w:p>
    <w:p>
      <w:pPr>
        <w:spacing w:after="60"/>
        <w:ind w:left="540"/>
      </w:pPr>
      <w:r>
        <w:rPr>
          <w:rFonts w:ascii="Consolas" w:cs="Consolas" w:eastAsia="Consolas" w:hAnsi="Consolas"/>
          <w:sz w:val="20"/>
          <w:szCs w:val="20"/>
        </w:rPr>
        <w:t xml:space="preserve">Tx = suma de Lx desde x hasta 100;   ex = Tx / lx</w:t>
      </w:r>
    </w:p>
    <w:p>
      <w:pPr>
        <w:spacing w:after="120" w:before="80" w:line="276"/>
      </w:pPr>
      <w:r>
        <w:rPr>
          <w:rFonts w:ascii="Arial" w:cs="Arial" w:eastAsia="Arial" w:hAnsi="Arial"/>
          <w:sz w:val="21"/>
          <w:szCs w:val="21"/>
        </w:rPr>
        <w:t xml:space="preserve">La edad 100 es un grupo abierto (100 y más) con qx = 1, de modo que l101 = 0 y L100 = l100 / 2. Cada sexo se calcula con su propia población y sus propias defunciones; ambos sexos no es un promedio de las otras dos tablas. En el libro, cada hoja Gen_XXXX trae las ocho columnas (población, defunciones, qx, lx, dx, Lx, Tx, ex) para los tres sexos, y una celda de control comprueba que la suma de dx sea igual al radix.</w:t>
      </w:r>
    </w:p>
    <w:p>
      <w:pPr>
        <w:pStyle w:val="Heading1"/>
        <w:spacing w:after="120" w:before="280"/>
      </w:pPr>
      <w:r>
        <w:rPr>
          <w:rFonts w:ascii="Arial" w:cs="Arial" w:eastAsia="Arial" w:hAnsi="Arial"/>
          <w:b/>
          <w:bCs/>
          <w:color w:val="1F3864"/>
          <w:sz w:val="26"/>
          <w:szCs w:val="26"/>
        </w:rPr>
        <w:t xml:space="preserve">4. Resultados</w:t>
      </w:r>
    </w:p>
    <w:p>
      <w:pPr>
        <w:spacing w:after="120" w:line="276"/>
      </w:pPr>
      <w:r>
        <w:rPr>
          <w:rFonts w:ascii="Arial" w:cs="Arial" w:eastAsia="Arial" w:hAnsi="Arial"/>
          <w:sz w:val="21"/>
          <w:szCs w:val="21"/>
        </w:rPr>
        <w:t xml:space="preserve">La esperanza de vida al nacer (ambos sexos) pasa de 55.1 años en la generación 1950 a 79.4 en la generación 2000. En hombres sube de 52.4 a 76.6 y en mujeres de 57.9 a 82.3; la ventaja femenina se mantiene en torno a 5.4-5.7 años. La proporción que llega con vida a los 65 años (ambos sexos) sube de 56.0% a 83.8%.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10"/>
        <w:gridCol w:w="1310"/>
        <w:gridCol w:w="1310"/>
        <w:gridCol w:w="1310"/>
        <w:gridCol w:w="1310"/>
        <w:gridCol w:w="1310"/>
      </w:tblGrid>
      <w:tr>
        <w:trPr>
          <w:tblHeader/>
        </w:trPr>
        <w:tc>
          <w:tcPr>
            <w:tcW w:type="dxa" w:w="1500"/>
            <w:tcBorders>
              <w:top w:val="single" w:color="BFBFBF" w:sz="4"/>
              <w:left w:val="single" w:color="BFBFBF" w:sz="4"/>
              <w:bottom w:val="single" w:color="BFBFBF" w:sz="4"/>
              <w:right w:val="single" w:color="BFBFBF" w:sz="4"/>
            </w:tcBorders>
            <w:shd w:fill="DCE3F0" w:color="auto" w:val="clear"/>
            <w:tcMar>
              <w:top w:type="dxa" w:w="50"/>
              <w:left w:type="dxa" w:w="80"/>
              <w:bottom w:type="dxa" w:w="50"/>
              <w:right w:type="dxa" w:w="80"/>
            </w:tcMar>
          </w:tcPr>
          <w:p>
            <w:pPr>
              <w:keepNext/>
              <w:jc w:val="center"/>
            </w:pPr>
            <w:r>
              <w:rPr>
                <w:rFonts w:ascii="Arial" w:cs="Arial" w:eastAsia="Arial" w:hAnsi="Arial"/>
                <w:b/>
                <w:bCs/>
                <w:sz w:val="18"/>
                <w:szCs w:val="18"/>
              </w:rPr>
              <w:t xml:space="preserve">Generación</w:t>
            </w:r>
          </w:p>
        </w:tc>
        <w:tc>
          <w:tcPr>
            <w:tcW w:type="dxa" w:w="1310"/>
            <w:tcBorders>
              <w:top w:val="single" w:color="BFBFBF" w:sz="4"/>
              <w:left w:val="single" w:color="BFBFBF" w:sz="4"/>
              <w:bottom w:val="single" w:color="BFBFBF" w:sz="4"/>
              <w:right w:val="single" w:color="BFBFBF" w:sz="4"/>
            </w:tcBorders>
            <w:shd w:fill="DCE3F0" w:color="auto" w:val="clear"/>
            <w:tcMar>
              <w:top w:type="dxa" w:w="50"/>
              <w:left w:type="dxa" w:w="80"/>
              <w:bottom w:type="dxa" w:w="50"/>
              <w:right w:type="dxa" w:w="80"/>
            </w:tcMar>
          </w:tcPr>
          <w:p>
            <w:pPr>
              <w:keepNext/>
              <w:jc w:val="center"/>
            </w:pPr>
            <w:r>
              <w:rPr>
                <w:rFonts w:ascii="Arial" w:cs="Arial" w:eastAsia="Arial" w:hAnsi="Arial"/>
                <w:b/>
                <w:bCs/>
                <w:sz w:val="18"/>
                <w:szCs w:val="18"/>
              </w:rPr>
              <w:t xml:space="preserve">e0 H</w:t>
            </w:r>
          </w:p>
        </w:tc>
        <w:tc>
          <w:tcPr>
            <w:tcW w:type="dxa" w:w="1310"/>
            <w:tcBorders>
              <w:top w:val="single" w:color="BFBFBF" w:sz="4"/>
              <w:left w:val="single" w:color="BFBFBF" w:sz="4"/>
              <w:bottom w:val="single" w:color="BFBFBF" w:sz="4"/>
              <w:right w:val="single" w:color="BFBFBF" w:sz="4"/>
            </w:tcBorders>
            <w:shd w:fill="DCE3F0" w:color="auto" w:val="clear"/>
            <w:tcMar>
              <w:top w:type="dxa" w:w="50"/>
              <w:left w:type="dxa" w:w="80"/>
              <w:bottom w:type="dxa" w:w="50"/>
              <w:right w:type="dxa" w:w="80"/>
            </w:tcMar>
          </w:tcPr>
          <w:p>
            <w:pPr>
              <w:keepNext/>
              <w:jc w:val="center"/>
            </w:pPr>
            <w:r>
              <w:rPr>
                <w:rFonts w:ascii="Arial" w:cs="Arial" w:eastAsia="Arial" w:hAnsi="Arial"/>
                <w:b/>
                <w:bCs/>
                <w:sz w:val="18"/>
                <w:szCs w:val="18"/>
              </w:rPr>
              <w:t xml:space="preserve">e0 M</w:t>
            </w:r>
          </w:p>
        </w:tc>
        <w:tc>
          <w:tcPr>
            <w:tcW w:type="dxa" w:w="1310"/>
            <w:tcBorders>
              <w:top w:val="single" w:color="BFBFBF" w:sz="4"/>
              <w:left w:val="single" w:color="BFBFBF" w:sz="4"/>
              <w:bottom w:val="single" w:color="BFBFBF" w:sz="4"/>
              <w:right w:val="single" w:color="BFBFBF" w:sz="4"/>
            </w:tcBorders>
            <w:shd w:fill="DCE3F0" w:color="auto" w:val="clear"/>
            <w:tcMar>
              <w:top w:type="dxa" w:w="50"/>
              <w:left w:type="dxa" w:w="80"/>
              <w:bottom w:type="dxa" w:w="50"/>
              <w:right w:type="dxa" w:w="80"/>
            </w:tcMar>
          </w:tcPr>
          <w:p>
            <w:pPr>
              <w:keepNext/>
              <w:jc w:val="center"/>
            </w:pPr>
            <w:r>
              <w:rPr>
                <w:rFonts w:ascii="Arial" w:cs="Arial" w:eastAsia="Arial" w:hAnsi="Arial"/>
                <w:b/>
                <w:bCs/>
                <w:sz w:val="18"/>
                <w:szCs w:val="18"/>
              </w:rPr>
              <w:t xml:space="preserve">e0 Ambos</w:t>
            </w:r>
          </w:p>
        </w:tc>
        <w:tc>
          <w:tcPr>
            <w:tcW w:type="dxa" w:w="1310"/>
            <w:tcBorders>
              <w:top w:val="single" w:color="BFBFBF" w:sz="4"/>
              <w:left w:val="single" w:color="BFBFBF" w:sz="4"/>
              <w:bottom w:val="single" w:color="BFBFBF" w:sz="4"/>
              <w:right w:val="single" w:color="BFBFBF" w:sz="4"/>
            </w:tcBorders>
            <w:shd w:fill="DCE3F0" w:color="auto" w:val="clear"/>
            <w:tcMar>
              <w:top w:type="dxa" w:w="50"/>
              <w:left w:type="dxa" w:w="80"/>
              <w:bottom w:type="dxa" w:w="50"/>
              <w:right w:type="dxa" w:w="80"/>
            </w:tcMar>
          </w:tcPr>
          <w:p>
            <w:pPr>
              <w:keepNext/>
              <w:jc w:val="center"/>
            </w:pPr>
            <w:r>
              <w:rPr>
                <w:rFonts w:ascii="Arial" w:cs="Arial" w:eastAsia="Arial" w:hAnsi="Arial"/>
                <w:b/>
                <w:bCs/>
                <w:sz w:val="18"/>
                <w:szCs w:val="18"/>
              </w:rPr>
              <w:t xml:space="preserve">e65 Ambos</w:t>
            </w:r>
          </w:p>
        </w:tc>
        <w:tc>
          <w:tcPr>
            <w:tcW w:type="dxa" w:w="1310"/>
            <w:tcBorders>
              <w:top w:val="single" w:color="BFBFBF" w:sz="4"/>
              <w:left w:val="single" w:color="BFBFBF" w:sz="4"/>
              <w:bottom w:val="single" w:color="BFBFBF" w:sz="4"/>
              <w:right w:val="single" w:color="BFBFBF" w:sz="4"/>
            </w:tcBorders>
            <w:shd w:fill="DCE3F0" w:color="auto" w:val="clear"/>
            <w:tcMar>
              <w:top w:type="dxa" w:w="50"/>
              <w:left w:type="dxa" w:w="80"/>
              <w:bottom w:type="dxa" w:w="50"/>
              <w:right w:type="dxa" w:w="80"/>
            </w:tcMar>
          </w:tcPr>
          <w:p>
            <w:pPr>
              <w:keepNext/>
              <w:jc w:val="center"/>
            </w:pPr>
            <w:r>
              <w:rPr>
                <w:rFonts w:ascii="Arial" w:cs="Arial" w:eastAsia="Arial" w:hAnsi="Arial"/>
                <w:b/>
                <w:bCs/>
                <w:sz w:val="18"/>
                <w:szCs w:val="18"/>
              </w:rPr>
              <w:t xml:space="preserve">l65/l0 Ambos</w:t>
            </w:r>
          </w:p>
        </w:tc>
        <w:tc>
          <w:tcPr>
            <w:tcW w:type="dxa" w:w="1310"/>
            <w:tcBorders>
              <w:top w:val="single" w:color="BFBFBF" w:sz="4"/>
              <w:left w:val="single" w:color="BFBFBF" w:sz="4"/>
              <w:bottom w:val="single" w:color="BFBFBF" w:sz="4"/>
              <w:right w:val="single" w:color="BFBFBF" w:sz="4"/>
            </w:tcBorders>
            <w:shd w:fill="DCE3F0" w:color="auto" w:val="clear"/>
            <w:tcMar>
              <w:top w:type="dxa" w:w="50"/>
              <w:left w:type="dxa" w:w="80"/>
              <w:bottom w:type="dxa" w:w="50"/>
              <w:right w:type="dxa" w:w="80"/>
            </w:tcMar>
          </w:tcPr>
          <w:p>
            <w:pPr>
              <w:keepNext/>
              <w:jc w:val="center"/>
            </w:pPr>
            <w:r>
              <w:rPr>
                <w:rFonts w:ascii="Arial" w:cs="Arial" w:eastAsia="Arial" w:hAnsi="Arial"/>
                <w:b/>
                <w:bCs/>
                <w:sz w:val="18"/>
                <w:szCs w:val="18"/>
              </w:rPr>
              <w:t xml:space="preserve">l80/l0 Ambos</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left"/>
            </w:pPr>
            <w:r>
              <w:rPr>
                <w:rFonts w:ascii="Arial" w:cs="Arial" w:eastAsia="Arial" w:hAnsi="Arial"/>
                <w:b/>
                <w:bCs/>
                <w:sz w:val="18"/>
                <w:szCs w:val="18"/>
              </w:rPr>
              <w:t xml:space="preserve">1950</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52.44</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57.88</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55.11</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17.47</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56.0%</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33.7%</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left"/>
            </w:pPr>
            <w:r>
              <w:rPr>
                <w:rFonts w:ascii="Arial" w:cs="Arial" w:eastAsia="Arial" w:hAnsi="Arial"/>
                <w:b/>
                <w:bCs/>
                <w:sz w:val="18"/>
                <w:szCs w:val="18"/>
              </w:rPr>
              <w:t xml:space="preserve">1960</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60.01</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66.41</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63.20</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18.69</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63.8%</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41.9%</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left"/>
            </w:pPr>
            <w:r>
              <w:rPr>
                <w:rFonts w:ascii="Arial" w:cs="Arial" w:eastAsia="Arial" w:hAnsi="Arial"/>
                <w:b/>
                <w:bCs/>
                <w:sz w:val="18"/>
                <w:szCs w:val="18"/>
              </w:rPr>
              <w:t xml:space="preserve">1970</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65.84</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72.21</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69.08</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19.59</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71.2%</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49.2%</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left"/>
            </w:pPr>
            <w:r>
              <w:rPr>
                <w:rFonts w:ascii="Arial" w:cs="Arial" w:eastAsia="Arial" w:hAnsi="Arial"/>
                <w:b/>
                <w:bCs/>
                <w:sz w:val="18"/>
                <w:szCs w:val="18"/>
              </w:rPr>
              <w:t xml:space="preserve">1980</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70.19</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76.39</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73.41</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20.52</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76.6%</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55.5%</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left"/>
            </w:pPr>
            <w:r>
              <w:rPr>
                <w:rFonts w:ascii="Arial" w:cs="Arial" w:eastAsia="Arial" w:hAnsi="Arial"/>
                <w:b/>
                <w:bCs/>
                <w:sz w:val="18"/>
                <w:szCs w:val="18"/>
              </w:rPr>
              <w:t xml:space="preserve">1990</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73.60</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79.72</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76.68</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21.40</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80.4%</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60.6%</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left"/>
            </w:pPr>
            <w:r>
              <w:rPr>
                <w:rFonts w:ascii="Arial" w:cs="Arial" w:eastAsia="Arial" w:hAnsi="Arial"/>
                <w:b/>
                <w:bCs/>
                <w:sz w:val="18"/>
                <w:szCs w:val="18"/>
              </w:rPr>
              <w:t xml:space="preserve">2000</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76.61</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82.31</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79.43</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22.26</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83.8%</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65.5%</w:t>
            </w:r>
          </w:p>
        </w:tc>
      </w:tr>
    </w:tbl>
    <w:p>
      <w:pPr>
        <w:spacing w:after="60"/>
      </w:pPr>
      <w:r>
        <w:rPr>
          <w:rFonts w:ascii="Arial" w:cs="Arial" w:eastAsia="Arial" w:hAnsi="Arial"/>
          <w:sz w:val="21"/>
          <w:szCs w:val="21"/>
        </w:rPr>
        <w:t xml:space="preserve"/>
      </w:r>
    </w:p>
    <w:p>
      <w:pPr>
        <w:keepNext/>
        <w:spacing w:after="40" w:before="120"/>
        <w:jc w:val="center"/>
      </w:pPr>
      <w:r>
        <w:drawing>
          <wp:inline distT="0" distB="0" distL="0" distR="0">
            <wp:extent cx="5943600" cy="2009775"/>
            <wp:effectExtent t="0" r="0" b="0" l="0"/>
            <wp:docPr id="1" name="lx_por_generacion.png" descr="Figura 1. Sobrevivientes lx por edad y generación (radix 100,000)." title="lx_por_genera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009775"/>
                    </a:xfrm>
                    <a:prstGeom prst="rect">
                      <a:avLst/>
                    </a:prstGeom>
                  </pic:spPr>
                </pic:pic>
              </a:graphicData>
            </a:graphic>
          </wp:inline>
        </w:drawing>
      </w:r>
    </w:p>
    <w:p>
      <w:pPr>
        <w:spacing w:after="160"/>
        <w:jc w:val="center"/>
      </w:pPr>
      <w:r>
        <w:rPr>
          <w:rFonts w:ascii="Arial" w:cs="Arial" w:eastAsia="Arial" w:hAnsi="Arial"/>
          <w:i/>
          <w:iCs/>
          <w:color w:val="595959"/>
          <w:sz w:val="17"/>
          <w:szCs w:val="17"/>
        </w:rPr>
        <w:t xml:space="preserve">Figura 1. Sobrevivientes lx por edad y generación (radix 100,000).</w:t>
      </w:r>
    </w:p>
    <w:p>
      <w:pPr>
        <w:keepNext/>
        <w:spacing w:after="40" w:before="120"/>
        <w:jc w:val="center"/>
      </w:pPr>
      <w:r>
        <w:drawing>
          <wp:inline distT="0" distB="0" distL="0" distR="0">
            <wp:extent cx="4953000" cy="2428875"/>
            <wp:effectExtent t="0" r="0" b="0" l="0"/>
            <wp:docPr id="1" name="e0_por_anio_calendario.png" descr="Figura 2. e0 oficial de la ONU por año calendario (líneas) y e0 de cada generación (puntos) según estas tablas." title="e0_por_anio_calenda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428875"/>
                    </a:xfrm>
                    <a:prstGeom prst="rect">
                      <a:avLst/>
                    </a:prstGeom>
                  </pic:spPr>
                </pic:pic>
              </a:graphicData>
            </a:graphic>
          </wp:inline>
        </w:drawing>
      </w:r>
    </w:p>
    <w:p>
      <w:pPr>
        <w:spacing w:after="160"/>
        <w:jc w:val="center"/>
      </w:pPr>
      <w:r>
        <w:rPr>
          <w:rFonts w:ascii="Arial" w:cs="Arial" w:eastAsia="Arial" w:hAnsi="Arial"/>
          <w:i/>
          <w:iCs/>
          <w:color w:val="595959"/>
          <w:sz w:val="17"/>
          <w:szCs w:val="17"/>
        </w:rPr>
        <w:t xml:space="preserve">Figura 2. e0 oficial de la ONU por año calendario (líneas) y e0 de cada generación (puntos) según estas tablas.</w:t>
      </w:r>
    </w:p>
    <w:p>
      <w:pPr>
        <w:spacing w:after="120" w:line="276"/>
      </w:pPr>
      <w:r>
        <w:rPr>
          <w:rFonts w:ascii="Arial" w:cs="Arial" w:eastAsia="Arial" w:hAnsi="Arial"/>
          <w:sz w:val="21"/>
          <w:szCs w:val="21"/>
        </w:rPr>
        <w:t xml:space="preserve">La e0 de una generación es mayor que la e0 de periodo de su año de nacimiento (55.1 frente a 43.8 en 1950, ambos sexos), porque la generación vive las mejoras de mortalidad que vienen después y la medida de periodo no. Esa brecha (entre 6.5 y 12.4 años) no es un error. También se ve el efecto de la pandemia de 2020-2021 como un escalón en lx de las generaciones 1950 y 1960 (edades 60-71) y como una caída en la e0 de periodo. En el libro, la hoja Comparacion reúne e0, e65, l65/l0 y l80/l0, y los gráficos de ex y lx separados por sexo (las demás figuras están en resultados/).</w:t>
      </w:r>
    </w:p>
    <w:p>
      <w:pPr>
        <w:pStyle w:val="Heading1"/>
        <w:spacing w:after="120" w:before="280"/>
      </w:pPr>
      <w:r>
        <w:rPr>
          <w:rFonts w:ascii="Arial" w:cs="Arial" w:eastAsia="Arial" w:hAnsi="Arial"/>
          <w:b/>
          <w:bCs/>
          <w:color w:val="1F3864"/>
          <w:sz w:val="26"/>
          <w:szCs w:val="26"/>
        </w:rPr>
        <w:t xml:space="preserve">5. Validación contra la ONU</w:t>
      </w:r>
    </w:p>
    <w:p>
      <w:pPr>
        <w:spacing w:after="120" w:line="276"/>
      </w:pPr>
      <w:r>
        <w:rPr>
          <w:rFonts w:ascii="Arial" w:cs="Arial" w:eastAsia="Arial" w:hAnsi="Arial"/>
          <w:b/>
          <w:bCs/>
          <w:sz w:val="21"/>
          <w:szCs w:val="21"/>
        </w:rPr>
        <w:t xml:space="preserve">A. Método. </w:t>
      </w:r>
      <w:r>
        <w:rPr>
          <w:rFonts w:ascii="Arial" w:cs="Arial" w:eastAsia="Arial" w:hAnsi="Arial"/>
          <w:sz w:val="21"/>
          <w:szCs w:val="21"/>
        </w:rPr>
        <w:t xml:space="preserve">Se aplicaron las mismas fórmulas a cada año calendario (tablas de periodo, hoja Periodo) y se compararon con la e0 oficial de la ONU, de 1950 a 2100: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60"/>
        <w:gridCol w:w="1400"/>
        <w:gridCol w:w="1500"/>
        <w:gridCol w:w="1160"/>
        <w:gridCol w:w="1160"/>
        <w:gridCol w:w="1180"/>
      </w:tblGrid>
      <w:tr>
        <w:trPr>
          <w:tblHeader/>
        </w:trPr>
        <w:tc>
          <w:tcPr>
            <w:tcW w:type="dxa" w:w="1500"/>
            <w:tcBorders>
              <w:top w:val="single" w:color="BFBFBF" w:sz="4"/>
              <w:left w:val="single" w:color="BFBFBF" w:sz="4"/>
              <w:bottom w:val="single" w:color="BFBFBF" w:sz="4"/>
              <w:right w:val="single" w:color="BFBFBF" w:sz="4"/>
            </w:tcBorders>
            <w:shd w:fill="DCE3F0" w:color="auto" w:val="clear"/>
            <w:tcMar>
              <w:top w:type="dxa" w:w="50"/>
              <w:left w:type="dxa" w:w="80"/>
              <w:bottom w:type="dxa" w:w="50"/>
              <w:right w:type="dxa" w:w="80"/>
            </w:tcMar>
          </w:tcPr>
          <w:p>
            <w:pPr>
              <w:keepNext/>
              <w:jc w:val="center"/>
            </w:pPr>
            <w:r>
              <w:rPr>
                <w:rFonts w:ascii="Arial" w:cs="Arial" w:eastAsia="Arial" w:hAnsi="Arial"/>
                <w:b/>
                <w:bCs/>
                <w:sz w:val="18"/>
                <w:szCs w:val="18"/>
              </w:rPr>
              <w:t xml:space="preserve">Sexo</w:t>
            </w:r>
          </w:p>
        </w:tc>
        <w:tc>
          <w:tcPr>
            <w:tcW w:type="dxa" w:w="1460"/>
            <w:tcBorders>
              <w:top w:val="single" w:color="BFBFBF" w:sz="4"/>
              <w:left w:val="single" w:color="BFBFBF" w:sz="4"/>
              <w:bottom w:val="single" w:color="BFBFBF" w:sz="4"/>
              <w:right w:val="single" w:color="BFBFBF" w:sz="4"/>
            </w:tcBorders>
            <w:shd w:fill="DCE3F0" w:color="auto" w:val="clear"/>
            <w:tcMar>
              <w:top w:type="dxa" w:w="50"/>
              <w:left w:type="dxa" w:w="80"/>
              <w:bottom w:type="dxa" w:w="50"/>
              <w:right w:type="dxa" w:w="80"/>
            </w:tcMar>
          </w:tcPr>
          <w:p>
            <w:pPr>
              <w:keepNext/>
              <w:jc w:val="center"/>
            </w:pPr>
            <w:r>
              <w:rPr>
                <w:rFonts w:ascii="Arial" w:cs="Arial" w:eastAsia="Arial" w:hAnsi="Arial"/>
                <w:b/>
                <w:bCs/>
                <w:sz w:val="18"/>
                <w:szCs w:val="18"/>
              </w:rPr>
              <w:t xml:space="preserve">Diferencia media (años)</w:t>
            </w:r>
          </w:p>
        </w:tc>
        <w:tc>
          <w:tcPr>
            <w:tcW w:type="dxa" w:w="1400"/>
            <w:tcBorders>
              <w:top w:val="single" w:color="BFBFBF" w:sz="4"/>
              <w:left w:val="single" w:color="BFBFBF" w:sz="4"/>
              <w:bottom w:val="single" w:color="BFBFBF" w:sz="4"/>
              <w:right w:val="single" w:color="BFBFBF" w:sz="4"/>
            </w:tcBorders>
            <w:shd w:fill="DCE3F0" w:color="auto" w:val="clear"/>
            <w:tcMar>
              <w:top w:type="dxa" w:w="50"/>
              <w:left w:type="dxa" w:w="80"/>
              <w:bottom w:type="dxa" w:w="50"/>
              <w:right w:type="dxa" w:w="80"/>
            </w:tcMar>
          </w:tcPr>
          <w:p>
            <w:pPr>
              <w:keepNext/>
              <w:jc w:val="center"/>
            </w:pPr>
            <w:r>
              <w:rPr>
                <w:rFonts w:ascii="Arial" w:cs="Arial" w:eastAsia="Arial" w:hAnsi="Arial"/>
                <w:b/>
                <w:bCs/>
                <w:sz w:val="18"/>
                <w:szCs w:val="18"/>
              </w:rPr>
              <w:t xml:space="preserve">Error absoluto medio</w:t>
            </w:r>
          </w:p>
        </w:tc>
        <w:tc>
          <w:tcPr>
            <w:tcW w:type="dxa" w:w="1500"/>
            <w:tcBorders>
              <w:top w:val="single" w:color="BFBFBF" w:sz="4"/>
              <w:left w:val="single" w:color="BFBFBF" w:sz="4"/>
              <w:bottom w:val="single" w:color="BFBFBF" w:sz="4"/>
              <w:right w:val="single" w:color="BFBFBF" w:sz="4"/>
            </w:tcBorders>
            <w:shd w:fill="DCE3F0" w:color="auto" w:val="clear"/>
            <w:tcMar>
              <w:top w:type="dxa" w:w="50"/>
              <w:left w:type="dxa" w:w="80"/>
              <w:bottom w:type="dxa" w:w="50"/>
              <w:right w:type="dxa" w:w="80"/>
            </w:tcMar>
          </w:tcPr>
          <w:p>
            <w:pPr>
              <w:keepNext/>
              <w:jc w:val="center"/>
            </w:pPr>
            <w:r>
              <w:rPr>
                <w:rFonts w:ascii="Arial" w:cs="Arial" w:eastAsia="Arial" w:hAnsi="Arial"/>
                <w:b/>
                <w:bCs/>
                <w:sz w:val="18"/>
                <w:szCs w:val="18"/>
              </w:rPr>
              <w:t xml:space="preserve">Máx. |dif.| (año)</w:t>
            </w:r>
          </w:p>
        </w:tc>
        <w:tc>
          <w:tcPr>
            <w:tcW w:type="dxa" w:w="1160"/>
            <w:tcBorders>
              <w:top w:val="single" w:color="BFBFBF" w:sz="4"/>
              <w:left w:val="single" w:color="BFBFBF" w:sz="4"/>
              <w:bottom w:val="single" w:color="BFBFBF" w:sz="4"/>
              <w:right w:val="single" w:color="BFBFBF" w:sz="4"/>
            </w:tcBorders>
            <w:shd w:fill="DCE3F0" w:color="auto" w:val="clear"/>
            <w:tcMar>
              <w:top w:type="dxa" w:w="50"/>
              <w:left w:type="dxa" w:w="80"/>
              <w:bottom w:type="dxa" w:w="50"/>
              <w:right w:type="dxa" w:w="80"/>
            </w:tcMar>
          </w:tcPr>
          <w:p>
            <w:pPr>
              <w:keepNext/>
              <w:jc w:val="center"/>
            </w:pPr>
            <w:r>
              <w:rPr>
                <w:rFonts w:ascii="Arial" w:cs="Arial" w:eastAsia="Arial" w:hAnsi="Arial"/>
                <w:b/>
                <w:bCs/>
                <w:sz w:val="18"/>
                <w:szCs w:val="18"/>
              </w:rPr>
              <w:t xml:space="preserve">Dif. 1950</w:t>
            </w:r>
          </w:p>
        </w:tc>
        <w:tc>
          <w:tcPr>
            <w:tcW w:type="dxa" w:w="1160"/>
            <w:tcBorders>
              <w:top w:val="single" w:color="BFBFBF" w:sz="4"/>
              <w:left w:val="single" w:color="BFBFBF" w:sz="4"/>
              <w:bottom w:val="single" w:color="BFBFBF" w:sz="4"/>
              <w:right w:val="single" w:color="BFBFBF" w:sz="4"/>
            </w:tcBorders>
            <w:shd w:fill="DCE3F0" w:color="auto" w:val="clear"/>
            <w:tcMar>
              <w:top w:type="dxa" w:w="50"/>
              <w:left w:type="dxa" w:w="80"/>
              <w:bottom w:type="dxa" w:w="50"/>
              <w:right w:type="dxa" w:w="80"/>
            </w:tcMar>
          </w:tcPr>
          <w:p>
            <w:pPr>
              <w:keepNext/>
              <w:jc w:val="center"/>
            </w:pPr>
            <w:r>
              <w:rPr>
                <w:rFonts w:ascii="Arial" w:cs="Arial" w:eastAsia="Arial" w:hAnsi="Arial"/>
                <w:b/>
                <w:bCs/>
                <w:sz w:val="18"/>
                <w:szCs w:val="18"/>
              </w:rPr>
              <w:t xml:space="preserve">Dif. 2023</w:t>
            </w:r>
          </w:p>
        </w:tc>
        <w:tc>
          <w:tcPr>
            <w:tcW w:type="dxa" w:w="1180"/>
            <w:tcBorders>
              <w:top w:val="single" w:color="BFBFBF" w:sz="4"/>
              <w:left w:val="single" w:color="BFBFBF" w:sz="4"/>
              <w:bottom w:val="single" w:color="BFBFBF" w:sz="4"/>
              <w:right w:val="single" w:color="BFBFBF" w:sz="4"/>
            </w:tcBorders>
            <w:shd w:fill="DCE3F0" w:color="auto" w:val="clear"/>
            <w:tcMar>
              <w:top w:type="dxa" w:w="50"/>
              <w:left w:type="dxa" w:w="80"/>
              <w:bottom w:type="dxa" w:w="50"/>
              <w:right w:type="dxa" w:w="80"/>
            </w:tcMar>
          </w:tcPr>
          <w:p>
            <w:pPr>
              <w:keepNext/>
              <w:jc w:val="center"/>
            </w:pPr>
            <w:r>
              <w:rPr>
                <w:rFonts w:ascii="Arial" w:cs="Arial" w:eastAsia="Arial" w:hAnsi="Arial"/>
                <w:b/>
                <w:bCs/>
                <w:sz w:val="18"/>
                <w:szCs w:val="18"/>
              </w:rPr>
              <w:t xml:space="preserve">Dif. 2100</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left"/>
            </w:pPr>
            <w:r>
              <w:rPr>
                <w:rFonts w:ascii="Arial" w:cs="Arial" w:eastAsia="Arial" w:hAnsi="Arial"/>
                <w:b/>
                <w:bCs/>
                <w:sz w:val="18"/>
                <w:szCs w:val="18"/>
              </w:rPr>
              <w:t xml:space="preserve">Hombres</w:t>
            </w:r>
          </w:p>
        </w:tc>
        <w:tc>
          <w:tcPr>
            <w:tcW w:type="dxa" w:w="146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−0.08</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0.08</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0.29 (1951)</w:t>
            </w:r>
          </w:p>
        </w:tc>
        <w:tc>
          <w:tcPr>
            <w:tcW w:type="dxa" w:w="116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−0.27</w:t>
            </w:r>
          </w:p>
        </w:tc>
        <w:tc>
          <w:tcPr>
            <w:tcW w:type="dxa" w:w="116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−0.03</w:t>
            </w:r>
          </w:p>
        </w:tc>
        <w:tc>
          <w:tcPr>
            <w:tcW w:type="dxa" w:w="118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−0.18</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left"/>
            </w:pPr>
            <w:r>
              <w:rPr>
                <w:rFonts w:ascii="Arial" w:cs="Arial" w:eastAsia="Arial" w:hAnsi="Arial"/>
                <w:b/>
                <w:bCs/>
                <w:sz w:val="18"/>
                <w:szCs w:val="18"/>
              </w:rPr>
              <w:t xml:space="preserve">Mujeres</w:t>
            </w:r>
          </w:p>
        </w:tc>
        <w:tc>
          <w:tcPr>
            <w:tcW w:type="dxa" w:w="146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−0.07</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0.08</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0.24 (2100)</w:t>
            </w:r>
          </w:p>
        </w:tc>
        <w:tc>
          <w:tcPr>
            <w:tcW w:type="dxa" w:w="116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−0.23</w:t>
            </w:r>
          </w:p>
        </w:tc>
        <w:tc>
          <w:tcPr>
            <w:tcW w:type="dxa" w:w="116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−0.01</w:t>
            </w:r>
          </w:p>
        </w:tc>
        <w:tc>
          <w:tcPr>
            <w:tcW w:type="dxa" w:w="118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−0.24</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left"/>
            </w:pPr>
            <w:r>
              <w:rPr>
                <w:rFonts w:ascii="Arial" w:cs="Arial" w:eastAsia="Arial" w:hAnsi="Arial"/>
                <w:b/>
                <w:bCs/>
                <w:sz w:val="18"/>
                <w:szCs w:val="18"/>
              </w:rPr>
              <w:t xml:space="preserve">Ambos sexos</w:t>
            </w:r>
          </w:p>
        </w:tc>
        <w:tc>
          <w:tcPr>
            <w:tcW w:type="dxa" w:w="146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−0.07</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0.08</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0.27 (1951)</w:t>
            </w:r>
          </w:p>
        </w:tc>
        <w:tc>
          <w:tcPr>
            <w:tcW w:type="dxa" w:w="116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−0.26</w:t>
            </w:r>
          </w:p>
        </w:tc>
        <w:tc>
          <w:tcPr>
            <w:tcW w:type="dxa" w:w="116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−0.02</w:t>
            </w:r>
          </w:p>
        </w:tc>
        <w:tc>
          <w:tcPr>
            <w:tcW w:type="dxa" w:w="118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−0.21</w:t>
            </w:r>
          </w:p>
        </w:tc>
      </w:tr>
    </w:tbl>
    <w:p>
      <w:pPr>
        <w:spacing w:after="60"/>
      </w:pPr>
      <w:r>
        <w:rPr>
          <w:rFonts w:ascii="Arial" w:cs="Arial" w:eastAsia="Arial" w:hAnsi="Arial"/>
          <w:sz w:val="21"/>
          <w:szCs w:val="21"/>
        </w:rPr>
        <w:t xml:space="preserve"/>
      </w:r>
    </w:p>
    <w:p>
      <w:pPr>
        <w:spacing w:after="120" w:line="276"/>
      </w:pPr>
      <w:r>
        <w:rPr>
          <w:rFonts w:ascii="Arial" w:cs="Arial" w:eastAsia="Arial" w:hAnsi="Arial"/>
          <w:sz w:val="21"/>
          <w:szCs w:val="21"/>
        </w:rPr>
        <w:t xml:space="preserve">El método reproduce la e0 oficial con un error absoluto medio de 0.08 años y un máximo de 0.29. En promedio la diferencia es negativa (−0.07 a −0.08 años), con dos causas identificadas. En los años iniciales, la qx de la edad 0 calculada con población a mitad de año sobrestima algo la mortalidad infantil (en 1950, 0.163 frente a 0.157 oficial; desde la edad 1 la qx coincide con la oficial), y el efecto desaparece hacia 2023. En los años finales, el grupo abierto con qx = 1 asigna solo 0.5 años de vida a quien llega a los 100, mientras la ONU estima entre 1.3 y 3.0, y cada vez llega más gente a esa edad. Entre 1981 y 2008 la diferencia oscila alrededor de cero (hasta ±0.07) y no se investigó su origen.</w:t>
      </w:r>
    </w:p>
    <w:p>
      <w:pPr>
        <w:spacing w:after="120" w:line="276"/>
      </w:pPr>
      <w:r>
        <w:rPr>
          <w:rFonts w:ascii="Arial" w:cs="Arial" w:eastAsia="Arial" w:hAnsi="Arial"/>
          <w:b/>
          <w:bCs/>
          <w:sz w:val="21"/>
          <w:szCs w:val="21"/>
        </w:rPr>
        <w:t xml:space="preserve">B. Generaciones. </w:t>
      </w:r>
      <w:r>
        <w:rPr>
          <w:rFonts w:ascii="Arial" w:cs="Arial" w:eastAsia="Arial" w:hAnsi="Arial"/>
          <w:sz w:val="21"/>
          <w:szCs w:val="21"/>
        </w:rPr>
        <w:t xml:space="preserve">Como la e0 oficial es de periodo, no se puede comparar directamente con una generación. Por eso se construyó, para cada generación, una referencia con la qx oficial de la ONU a lo largo de la misma diagonal (edad x en el año g + x) y las mismas fórmulas de lx y Lx. Las tablas de este libro quedan entre 0.03 y 0.39 años por debajo de esa referencia, y la diferencia se reduce de 0.37 años en la generación 1950 a 0.03 en la 2000 (ambos sexos). Ningún caso supera 0.4 años, es decir, 0.7% de la e0.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1100"/>
        <w:gridCol w:w="1100"/>
        <w:gridCol w:w="1100"/>
        <w:gridCol w:w="1100"/>
        <w:gridCol w:w="1250"/>
        <w:gridCol w:w="1250"/>
        <w:gridCol w:w="1200"/>
      </w:tblGrid>
      <w:tr>
        <w:trPr>
          <w:tblHeader/>
        </w:trPr>
        <w:tc>
          <w:tcPr>
            <w:tcW w:type="dxa" w:w="1260"/>
            <w:tcBorders>
              <w:top w:val="single" w:color="BFBFBF" w:sz="4"/>
              <w:left w:val="single" w:color="BFBFBF" w:sz="4"/>
              <w:bottom w:val="single" w:color="BFBFBF" w:sz="4"/>
              <w:right w:val="single" w:color="BFBFBF" w:sz="4"/>
            </w:tcBorders>
            <w:shd w:fill="DCE3F0" w:color="auto" w:val="clear"/>
            <w:tcMar>
              <w:top w:type="dxa" w:w="50"/>
              <w:left w:type="dxa" w:w="80"/>
              <w:bottom w:type="dxa" w:w="50"/>
              <w:right w:type="dxa" w:w="80"/>
            </w:tcMar>
          </w:tcPr>
          <w:p>
            <w:pPr>
              <w:keepNext/>
              <w:jc w:val="center"/>
            </w:pPr>
            <w:r>
              <w:rPr>
                <w:rFonts w:ascii="Arial" w:cs="Arial" w:eastAsia="Arial" w:hAnsi="Arial"/>
                <w:b/>
                <w:bCs/>
                <w:sz w:val="18"/>
                <w:szCs w:val="18"/>
              </w:rPr>
              <w:t xml:space="preserve">Generación</w:t>
            </w:r>
          </w:p>
        </w:tc>
        <w:tc>
          <w:tcPr>
            <w:tcW w:type="dxa" w:w="1100"/>
            <w:tcBorders>
              <w:top w:val="single" w:color="BFBFBF" w:sz="4"/>
              <w:left w:val="single" w:color="BFBFBF" w:sz="4"/>
              <w:bottom w:val="single" w:color="BFBFBF" w:sz="4"/>
              <w:right w:val="single" w:color="BFBFBF" w:sz="4"/>
            </w:tcBorders>
            <w:shd w:fill="DCE3F0" w:color="auto" w:val="clear"/>
            <w:tcMar>
              <w:top w:type="dxa" w:w="50"/>
              <w:left w:type="dxa" w:w="80"/>
              <w:bottom w:type="dxa" w:w="50"/>
              <w:right w:type="dxa" w:w="80"/>
            </w:tcMar>
          </w:tcPr>
          <w:p>
            <w:pPr>
              <w:keepNext/>
              <w:jc w:val="center"/>
            </w:pPr>
            <w:r>
              <w:rPr>
                <w:rFonts w:ascii="Arial" w:cs="Arial" w:eastAsia="Arial" w:hAnsi="Arial"/>
                <w:b/>
                <w:bCs/>
                <w:sz w:val="18"/>
                <w:szCs w:val="18"/>
              </w:rPr>
              <w:t xml:space="preserve">H: libro</w:t>
            </w:r>
          </w:p>
        </w:tc>
        <w:tc>
          <w:tcPr>
            <w:tcW w:type="dxa" w:w="1100"/>
            <w:tcBorders>
              <w:top w:val="single" w:color="BFBFBF" w:sz="4"/>
              <w:left w:val="single" w:color="BFBFBF" w:sz="4"/>
              <w:bottom w:val="single" w:color="BFBFBF" w:sz="4"/>
              <w:right w:val="single" w:color="BFBFBF" w:sz="4"/>
            </w:tcBorders>
            <w:shd w:fill="DCE3F0" w:color="auto" w:val="clear"/>
            <w:tcMar>
              <w:top w:type="dxa" w:w="50"/>
              <w:left w:type="dxa" w:w="80"/>
              <w:bottom w:type="dxa" w:w="50"/>
              <w:right w:type="dxa" w:w="80"/>
            </w:tcMar>
          </w:tcPr>
          <w:p>
            <w:pPr>
              <w:keepNext/>
              <w:jc w:val="center"/>
            </w:pPr>
            <w:r>
              <w:rPr>
                <w:rFonts w:ascii="Arial" w:cs="Arial" w:eastAsia="Arial" w:hAnsi="Arial"/>
                <w:b/>
                <w:bCs/>
                <w:sz w:val="18"/>
                <w:szCs w:val="18"/>
              </w:rPr>
              <w:t xml:space="preserve">H: ONU</w:t>
            </w:r>
          </w:p>
        </w:tc>
        <w:tc>
          <w:tcPr>
            <w:tcW w:type="dxa" w:w="1100"/>
            <w:tcBorders>
              <w:top w:val="single" w:color="BFBFBF" w:sz="4"/>
              <w:left w:val="single" w:color="BFBFBF" w:sz="4"/>
              <w:bottom w:val="single" w:color="BFBFBF" w:sz="4"/>
              <w:right w:val="single" w:color="BFBFBF" w:sz="4"/>
            </w:tcBorders>
            <w:shd w:fill="DCE3F0" w:color="auto" w:val="clear"/>
            <w:tcMar>
              <w:top w:type="dxa" w:w="50"/>
              <w:left w:type="dxa" w:w="80"/>
              <w:bottom w:type="dxa" w:w="50"/>
              <w:right w:type="dxa" w:w="80"/>
            </w:tcMar>
          </w:tcPr>
          <w:p>
            <w:pPr>
              <w:keepNext/>
              <w:jc w:val="center"/>
            </w:pPr>
            <w:r>
              <w:rPr>
                <w:rFonts w:ascii="Arial" w:cs="Arial" w:eastAsia="Arial" w:hAnsi="Arial"/>
                <w:b/>
                <w:bCs/>
                <w:sz w:val="18"/>
                <w:szCs w:val="18"/>
              </w:rPr>
              <w:t xml:space="preserve">M: libro</w:t>
            </w:r>
          </w:p>
        </w:tc>
        <w:tc>
          <w:tcPr>
            <w:tcW w:type="dxa" w:w="1100"/>
            <w:tcBorders>
              <w:top w:val="single" w:color="BFBFBF" w:sz="4"/>
              <w:left w:val="single" w:color="BFBFBF" w:sz="4"/>
              <w:bottom w:val="single" w:color="BFBFBF" w:sz="4"/>
              <w:right w:val="single" w:color="BFBFBF" w:sz="4"/>
            </w:tcBorders>
            <w:shd w:fill="DCE3F0" w:color="auto" w:val="clear"/>
            <w:tcMar>
              <w:top w:type="dxa" w:w="50"/>
              <w:left w:type="dxa" w:w="80"/>
              <w:bottom w:type="dxa" w:w="50"/>
              <w:right w:type="dxa" w:w="80"/>
            </w:tcMar>
          </w:tcPr>
          <w:p>
            <w:pPr>
              <w:keepNext/>
              <w:jc w:val="center"/>
            </w:pPr>
            <w:r>
              <w:rPr>
                <w:rFonts w:ascii="Arial" w:cs="Arial" w:eastAsia="Arial" w:hAnsi="Arial"/>
                <w:b/>
                <w:bCs/>
                <w:sz w:val="18"/>
                <w:szCs w:val="18"/>
              </w:rPr>
              <w:t xml:space="preserve">M: ONU</w:t>
            </w:r>
          </w:p>
        </w:tc>
        <w:tc>
          <w:tcPr>
            <w:tcW w:type="dxa" w:w="1250"/>
            <w:tcBorders>
              <w:top w:val="single" w:color="BFBFBF" w:sz="4"/>
              <w:left w:val="single" w:color="BFBFBF" w:sz="4"/>
              <w:bottom w:val="single" w:color="BFBFBF" w:sz="4"/>
              <w:right w:val="single" w:color="BFBFBF" w:sz="4"/>
            </w:tcBorders>
            <w:shd w:fill="DCE3F0" w:color="auto" w:val="clear"/>
            <w:tcMar>
              <w:top w:type="dxa" w:w="50"/>
              <w:left w:type="dxa" w:w="80"/>
              <w:bottom w:type="dxa" w:w="50"/>
              <w:right w:type="dxa" w:w="80"/>
            </w:tcMar>
          </w:tcPr>
          <w:p>
            <w:pPr>
              <w:keepNext/>
              <w:jc w:val="center"/>
            </w:pPr>
            <w:r>
              <w:rPr>
                <w:rFonts w:ascii="Arial" w:cs="Arial" w:eastAsia="Arial" w:hAnsi="Arial"/>
                <w:b/>
                <w:bCs/>
                <w:sz w:val="18"/>
                <w:szCs w:val="18"/>
              </w:rPr>
              <w:t xml:space="preserve">Ambos: libro</w:t>
            </w:r>
          </w:p>
        </w:tc>
        <w:tc>
          <w:tcPr>
            <w:tcW w:type="dxa" w:w="1250"/>
            <w:tcBorders>
              <w:top w:val="single" w:color="BFBFBF" w:sz="4"/>
              <w:left w:val="single" w:color="BFBFBF" w:sz="4"/>
              <w:bottom w:val="single" w:color="BFBFBF" w:sz="4"/>
              <w:right w:val="single" w:color="BFBFBF" w:sz="4"/>
            </w:tcBorders>
            <w:shd w:fill="DCE3F0" w:color="auto" w:val="clear"/>
            <w:tcMar>
              <w:top w:type="dxa" w:w="50"/>
              <w:left w:type="dxa" w:w="80"/>
              <w:bottom w:type="dxa" w:w="50"/>
              <w:right w:type="dxa" w:w="80"/>
            </w:tcMar>
          </w:tcPr>
          <w:p>
            <w:pPr>
              <w:keepNext/>
              <w:jc w:val="center"/>
            </w:pPr>
            <w:r>
              <w:rPr>
                <w:rFonts w:ascii="Arial" w:cs="Arial" w:eastAsia="Arial" w:hAnsi="Arial"/>
                <w:b/>
                <w:bCs/>
                <w:sz w:val="18"/>
                <w:szCs w:val="18"/>
              </w:rPr>
              <w:t xml:space="preserve">Ambos: ONU</w:t>
            </w:r>
          </w:p>
        </w:tc>
        <w:tc>
          <w:tcPr>
            <w:tcW w:type="dxa" w:w="1200"/>
            <w:tcBorders>
              <w:top w:val="single" w:color="BFBFBF" w:sz="4"/>
              <w:left w:val="single" w:color="BFBFBF" w:sz="4"/>
              <w:bottom w:val="single" w:color="BFBFBF" w:sz="4"/>
              <w:right w:val="single" w:color="BFBFBF" w:sz="4"/>
            </w:tcBorders>
            <w:shd w:fill="DCE3F0" w:color="auto" w:val="clear"/>
            <w:tcMar>
              <w:top w:type="dxa" w:w="50"/>
              <w:left w:type="dxa" w:w="80"/>
              <w:bottom w:type="dxa" w:w="50"/>
              <w:right w:type="dxa" w:w="80"/>
            </w:tcMar>
          </w:tcPr>
          <w:p>
            <w:pPr>
              <w:keepNext/>
              <w:jc w:val="center"/>
            </w:pPr>
            <w:r>
              <w:rPr>
                <w:rFonts w:ascii="Arial" w:cs="Arial" w:eastAsia="Arial" w:hAnsi="Arial"/>
                <w:b/>
                <w:bCs/>
                <w:sz w:val="18"/>
                <w:szCs w:val="18"/>
              </w:rPr>
              <w:t xml:space="preserve">Dif. ambos</w:t>
            </w:r>
          </w:p>
        </w:tc>
      </w:tr>
      <w:tr>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left"/>
            </w:pPr>
            <w:r>
              <w:rPr>
                <w:rFonts w:ascii="Arial" w:cs="Arial" w:eastAsia="Arial" w:hAnsi="Arial"/>
                <w:b/>
                <w:bCs/>
                <w:sz w:val="18"/>
                <w:szCs w:val="18"/>
              </w:rPr>
              <w:t xml:space="preserve">1950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52.44</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52.84</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57.88</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58.21</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55.11</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55.48</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−0.37</w:t>
            </w:r>
          </w:p>
        </w:tc>
      </w:tr>
      <w:tr>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left"/>
            </w:pPr>
            <w:r>
              <w:rPr>
                <w:rFonts w:ascii="Arial" w:cs="Arial" w:eastAsia="Arial" w:hAnsi="Arial"/>
                <w:b/>
                <w:bCs/>
                <w:sz w:val="18"/>
                <w:szCs w:val="18"/>
              </w:rPr>
              <w:t xml:space="preserve">1960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60.01</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60.26</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66.41</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66.62</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63.20</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63.44</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−0.23</w:t>
            </w:r>
          </w:p>
        </w:tc>
      </w:tr>
      <w:tr>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left"/>
            </w:pPr>
            <w:r>
              <w:rPr>
                <w:rFonts w:ascii="Arial" w:cs="Arial" w:eastAsia="Arial" w:hAnsi="Arial"/>
                <w:b/>
                <w:bCs/>
                <w:sz w:val="18"/>
                <w:szCs w:val="18"/>
              </w:rPr>
              <w:t xml:space="preserve">1970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65.84</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65.99</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72.21</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72.33</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69.08</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69.21</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−0.13</w:t>
            </w:r>
          </w:p>
        </w:tc>
      </w:tr>
      <w:tr>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left"/>
            </w:pPr>
            <w:r>
              <w:rPr>
                <w:rFonts w:ascii="Arial" w:cs="Arial" w:eastAsia="Arial" w:hAnsi="Arial"/>
                <w:b/>
                <w:bCs/>
                <w:sz w:val="18"/>
                <w:szCs w:val="18"/>
              </w:rPr>
              <w:t xml:space="preserve">1980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70.19</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70.28</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76.39</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76.44</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73.41</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73.48</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−0.08</w:t>
            </w:r>
          </w:p>
        </w:tc>
      </w:tr>
      <w:tr>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left"/>
            </w:pPr>
            <w:r>
              <w:rPr>
                <w:rFonts w:ascii="Arial" w:cs="Arial" w:eastAsia="Arial" w:hAnsi="Arial"/>
                <w:b/>
                <w:bCs/>
                <w:sz w:val="18"/>
                <w:szCs w:val="18"/>
              </w:rPr>
              <w:t xml:space="preserve">1990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73.60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73.67</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79.72</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79.78</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76.68</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76.74</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−0.07</w:t>
            </w:r>
          </w:p>
        </w:tc>
      </w:tr>
      <w:tr>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left"/>
            </w:pPr>
            <w:r>
              <w:rPr>
                <w:rFonts w:ascii="Arial" w:cs="Arial" w:eastAsia="Arial" w:hAnsi="Arial"/>
                <w:b/>
                <w:bCs/>
                <w:sz w:val="18"/>
                <w:szCs w:val="18"/>
              </w:rPr>
              <w:t xml:space="preserve">2000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76.61</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76.65</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82.31</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82.34</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79.43</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79.46</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jc w:val="center"/>
            </w:pPr>
            <w:r>
              <w:rPr>
                <w:rFonts w:ascii="Arial" w:cs="Arial" w:eastAsia="Arial" w:hAnsi="Arial"/>
                <w:b w:val="false"/>
                <w:bCs w:val="false"/>
                <w:sz w:val="18"/>
                <w:szCs w:val="18"/>
              </w:rPr>
              <w:t xml:space="preserve">−0.03</w:t>
            </w:r>
          </w:p>
        </w:tc>
      </w:tr>
    </w:tbl>
    <w:p>
      <w:pPr>
        <w:spacing w:after="60"/>
      </w:pPr>
      <w:r>
        <w:rPr>
          <w:rFonts w:ascii="Arial" w:cs="Arial" w:eastAsia="Arial" w:hAnsi="Arial"/>
          <w:sz w:val="21"/>
          <w:szCs w:val="21"/>
        </w:rPr>
        <w:t xml:space="preserve"/>
      </w:r>
    </w:p>
    <w:p>
      <w:pPr>
        <w:keepNext/>
        <w:spacing w:after="40" w:before="120"/>
        <w:jc w:val="center"/>
      </w:pPr>
      <w:r>
        <w:drawing>
          <wp:inline distT="0" distB="0" distL="0" distR="0">
            <wp:extent cx="5943600" cy="2028825"/>
            <wp:effectExtent t="0" r="0" b="0" l="0"/>
            <wp:docPr id="1" name="validacion_e0.png" descr="Figura 3. Diferencia entre la e0 calculada y la oficial: (A) por año calendario; (B) por generación." title="validacion_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028825"/>
                    </a:xfrm>
                    <a:prstGeom prst="rect">
                      <a:avLst/>
                    </a:prstGeom>
                  </pic:spPr>
                </pic:pic>
              </a:graphicData>
            </a:graphic>
          </wp:inline>
        </w:drawing>
      </w:r>
    </w:p>
    <w:p>
      <w:pPr>
        <w:spacing w:after="160"/>
        <w:jc w:val="center"/>
      </w:pPr>
      <w:r>
        <w:rPr>
          <w:rFonts w:ascii="Arial" w:cs="Arial" w:eastAsia="Arial" w:hAnsi="Arial"/>
          <w:i/>
          <w:iCs/>
          <w:color w:val="595959"/>
          <w:sz w:val="17"/>
          <w:szCs w:val="17"/>
        </w:rPr>
        <w:t xml:space="preserve">Figura 3. Diferencia entre la e0 calculada y la oficial: (A) por año calendario; (B) por generación.</w:t>
      </w:r>
    </w:p>
    <w:p>
      <w:pPr>
        <w:spacing w:after="120" w:line="276"/>
      </w:pPr>
      <w:r>
        <w:rPr>
          <w:rFonts w:ascii="Arial" w:cs="Arial" w:eastAsia="Arial" w:hAnsi="Arial"/>
          <w:sz w:val="21"/>
          <w:szCs w:val="21"/>
        </w:rPr>
        <w:t xml:space="preserve">El grupo abierto reduce la e0 de las generaciones recientes hasta 0.11 años (con e100 = 2.0, hoja Validacion), pero afecta por igual a las tablas y a la referencia de la ONU, así que no cambia las diferencias de la tabla anterior.</w:t>
      </w:r>
    </w:p>
    <w:p>
      <w:pPr>
        <w:pStyle w:val="Heading1"/>
        <w:spacing w:after="120" w:before="280"/>
      </w:pPr>
      <w:r>
        <w:rPr>
          <w:rFonts w:ascii="Arial" w:cs="Arial" w:eastAsia="Arial" w:hAnsi="Arial"/>
          <w:b/>
          <w:bCs/>
          <w:color w:val="1F3864"/>
          <w:sz w:val="26"/>
          <w:szCs w:val="26"/>
        </w:rPr>
        <w:t xml:space="preserve">6. Limitaciones</w:t>
      </w:r>
    </w:p>
    <w:p>
      <w:pPr>
        <w:pStyle w:val="ListParagraph"/>
        <w:numPr>
          <w:ilvl w:val="0"/>
          <w:numId w:val="2"/>
        </w:numPr>
        <w:spacing w:after="60" w:line="264"/>
      </w:pPr>
      <w:r>
        <w:rPr>
          <w:rFonts w:ascii="Arial" w:cs="Arial" w:eastAsia="Arial" w:hAnsi="Arial"/>
          <w:sz w:val="21"/>
          <w:szCs w:val="21"/>
        </w:rPr>
        <w:t xml:space="preserve">Las defunciones y la población son por edad cumplida y año calendario, no por triángulos de Lexis. La qx de la generación se aproxima con la población de edad x a mitad del año g + x, lo que explica la diferencia residual frente a la ONU.</w:t>
      </w:r>
    </w:p>
    <w:p>
      <w:pPr>
        <w:pStyle w:val="ListParagraph"/>
        <w:numPr>
          <w:ilvl w:val="0"/>
          <w:numId w:val="2"/>
        </w:numPr>
        <w:spacing w:after="60" w:line="264"/>
      </w:pPr>
      <w:r>
        <w:rPr>
          <w:rFonts w:ascii="Arial" w:cs="Arial" w:eastAsia="Arial" w:hAnsi="Arial"/>
          <w:sz w:val="21"/>
          <w:szCs w:val="21"/>
        </w:rPr>
        <w:t xml:space="preserve">Toda generación incluye años proyectados (desde 2024): 27 de 101 edades en la generación 1950 y 77 de 101 en la 2000. La e0 de las generaciones 1980-2000 depende sobre todo de la variante media de la ONU.</w:t>
      </w:r>
    </w:p>
    <w:p>
      <w:pPr>
        <w:pStyle w:val="ListParagraph"/>
        <w:numPr>
          <w:ilvl w:val="0"/>
          <w:numId w:val="2"/>
        </w:numPr>
        <w:spacing w:after="60" w:line="264"/>
      </w:pPr>
      <w:r>
        <w:rPr>
          <w:rFonts w:ascii="Arial" w:cs="Arial" w:eastAsia="Arial" w:hAnsi="Arial"/>
          <w:sz w:val="21"/>
          <w:szCs w:val="21"/>
        </w:rPr>
        <w:t xml:space="preserve">Los datos mexicanos de la ONU son estimaciones y modelos, no un registro completo de cada defunción; el libro no corrige ese origen.</w:t>
      </w:r>
    </w:p>
    <w:p>
      <w:pPr>
        <w:pStyle w:val="ListParagraph"/>
        <w:numPr>
          <w:ilvl w:val="0"/>
          <w:numId w:val="2"/>
        </w:numPr>
        <w:spacing w:after="60" w:line="264"/>
      </w:pPr>
      <w:r>
        <w:rPr>
          <w:rFonts w:ascii="Arial" w:cs="Arial" w:eastAsia="Arial" w:hAnsi="Arial"/>
          <w:sz w:val="21"/>
          <w:szCs w:val="21"/>
        </w:rPr>
        <w:t xml:space="preserve">La e0 de periodo oficial y la de generación miden cosas distintas; solo la comparación contra la diagonal ONU (sección 5B) valida las tablas de generación.</w:t>
      </w:r>
    </w:p>
    <w:p>
      <w:pPr>
        <w:pStyle w:val="Heading1"/>
        <w:spacing w:after="120" w:before="280"/>
      </w:pPr>
      <w:r>
        <w:rPr>
          <w:rFonts w:ascii="Arial" w:cs="Arial" w:eastAsia="Arial" w:hAnsi="Arial"/>
          <w:b/>
          <w:bCs/>
          <w:color w:val="1F3864"/>
          <w:sz w:val="26"/>
          <w:szCs w:val="26"/>
        </w:rPr>
        <w:t xml:space="preserve">7. Archivos</w:t>
      </w:r>
    </w:p>
    <w:p>
      <w:pPr>
        <w:pStyle w:val="ListParagraph"/>
        <w:numPr>
          <w:ilvl w:val="0"/>
          <w:numId w:val="2"/>
        </w:numPr>
        <w:spacing w:after="60" w:line="264"/>
      </w:pPr>
      <w:r>
        <w:rPr>
          <w:rFonts w:ascii="Arial" w:cs="Arial" w:eastAsia="Arial" w:hAnsi="Arial"/>
          <w:sz w:val="21"/>
          <w:szCs w:val="21"/>
        </w:rPr>
        <w:t xml:space="preserve">resultados/tablas_mortalidad_generaciones_mexico.xlsx: libro con las 6 generaciones, comparación y validación (116,760 fórmulas, sin errores).</w:t>
      </w:r>
    </w:p>
    <w:p>
      <w:pPr>
        <w:pStyle w:val="ListParagraph"/>
        <w:numPr>
          <w:ilvl w:val="0"/>
          <w:numId w:val="2"/>
        </w:numPr>
        <w:spacing w:after="60" w:line="264"/>
      </w:pPr>
      <w:r>
        <w:rPr>
          <w:rFonts w:ascii="Arial" w:cs="Arial" w:eastAsia="Arial" w:hAnsi="Arial"/>
          <w:sz w:val="21"/>
          <w:szCs w:val="21"/>
        </w:rPr>
        <w:t xml:space="preserve">resultados/*.png: ex y lx por generación, e0 por año calendario y dos gráficos de validación.</w:t>
      </w:r>
    </w:p>
    <w:p>
      <w:pPr>
        <w:pStyle w:val="ListParagraph"/>
        <w:numPr>
          <w:ilvl w:val="0"/>
          <w:numId w:val="2"/>
        </w:numPr>
        <w:spacing w:after="60" w:line="264"/>
      </w:pPr>
      <w:r>
        <w:rPr>
          <w:rFonts w:ascii="Arial" w:cs="Arial" w:eastAsia="Arial" w:hAnsi="Arial"/>
          <w:sz w:val="21"/>
          <w:szCs w:val="21"/>
        </w:rPr>
        <w:t xml:space="preserve">datos/: CSV de México extraídos de la ONU. scripts/: descarga, construcción del libro, gráficos, verificación independiente (coincide con un cálculo en numpy a 1e-14) e informe.</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0ad50bce5644f03b952ef9090cc733424915870.png"/><Relationship Id="rId9" Type="http://schemas.openxmlformats.org/officeDocument/2006/relationships/image" Target="media/9d6cc03575610a155697f93c6c2a79b9ea8ab1eb.png"/><Relationship Id="rId10" Type="http://schemas.openxmlformats.org/officeDocument/2006/relationships/image" Target="media/b0ef503d19aa8a185a856ff05be62e9e96fe60d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Tablas de mortalidad de generaciones mexicanas</dc:title>
  <dc:creator>Claude Code</dc:creator>
  <cp:lastModifiedBy>Un-named</cp:lastModifiedBy>
  <cp:revision>1</cp:revision>
  <dcterms:created xsi:type="dcterms:W3CDTF">2026-10-06T23:58:07.618Z</dcterms:created>
  <dcterms:modified xsi:type="dcterms:W3CDTF">2026-10-06T23:58:07.619Z</dcterms:modified>
</cp:coreProperties>
</file>

<file path=docProps/custom.xml><?xml version="1.0" encoding="utf-8"?>
<Properties xmlns="http://schemas.openxmlformats.org/officeDocument/2006/custom-properties" xmlns:vt="http://schemas.openxmlformats.org/officeDocument/2006/docPropsVTypes"/>
</file>