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Arial" w:cs="Arial" w:eastAsia="Arial" w:hAnsi="Arial"/>
          <w:b/>
          <w:bCs/>
          <w:color w:val="1F3864"/>
          <w:sz w:val="34"/>
          <w:szCs w:val="34"/>
        </w:rPr>
        <w:t xml:space="preserve">Tabla de mortalidad de la generación mexicana de 1970</w:t>
      </w:r>
    </w:p>
    <w:p>
      <w:pPr>
        <w:pBdr>
          <w:bottom w:val="single" w:color="1F3864" w:sz="8" w:space="4"/>
        </w:pBdr>
        <w:spacing w:after="180"/>
      </w:pPr>
      <w:r>
        <w:rPr>
          <w:rFonts w:ascii="Arial" w:cs="Arial" w:eastAsia="Arial" w:hAnsi="Arial"/>
          <w:color w:val="595959"/>
          <w:sz w:val="21"/>
          <w:szCs w:val="21"/>
        </w:rPr>
        <w:t xml:space="preserve">U2_P1 · Tabla de mortalidad. Ambos sexos, con datos de CONAPO.</w:t>
      </w:r>
    </w:p>
    <w:p>
      <w:pPr>
        <w:pStyle w:val="Heading1"/>
        <w:spacing w:after="110" w:before="260"/>
      </w:pPr>
      <w:r>
        <w:rPr>
          <w:rFonts w:ascii="Arial" w:cs="Arial" w:eastAsia="Arial" w:hAnsi="Arial"/>
          <w:b/>
          <w:bCs/>
          <w:color w:val="1F3864"/>
          <w:sz w:val="25"/>
          <w:szCs w:val="25"/>
        </w:rPr>
        <w:t xml:space="preserve">1. Datos</w:t>
      </w:r>
    </w:p>
    <w:p>
      <w:pPr>
        <w:spacing w:after="120" w:line="276"/>
      </w:pPr>
      <w:r>
        <w:rPr>
          <w:rFonts w:ascii="Arial" w:cs="Arial" w:eastAsia="Arial" w:hAnsi="Arial"/>
          <w:sz w:val="21"/>
          <w:szCs w:val="21"/>
        </w:rPr>
        <w:t xml:space="preserve">La tabla se calculó con las bases de datos abiertas de CONAPO (Conciliación demográfica de México 1950-2019 y Proyecciones de la población 2020-2070), descargadas de datos.gob.mx y guardadas sin modificar en la carpeta bases_de_datos_CONAPO/:</w:t>
      </w:r>
    </w:p>
    <w:p>
      <w:pPr>
        <w:pStyle w:val="ListParagraph"/>
        <w:numPr>
          <w:ilvl w:val="0"/>
          <w:numId w:val="2"/>
        </w:numPr>
        <w:spacing w:after="60" w:line="264"/>
      </w:pPr>
      <w:r>
        <w:rPr>
          <w:rFonts w:ascii="Arial" w:cs="Arial" w:eastAsia="Arial" w:hAnsi="Arial"/>
          <w:b/>
          <w:bCs/>
          <w:sz w:val="21"/>
          <w:szCs w:val="21"/>
        </w:rPr>
        <w:t xml:space="preserve">Defunciones por edad simple y año </w:t>
      </w:r>
      <w:r>
        <w:rPr>
          <w:rFonts w:ascii="Arial" w:cs="Arial" w:eastAsia="Arial" w:hAnsi="Arial"/>
          <w:sz w:val="21"/>
          <w:szCs w:val="21"/>
        </w:rPr>
        <w:t xml:space="preserve">(01_Defunciones_1950_2070.csv).</w:t>
      </w:r>
    </w:p>
    <w:p>
      <w:pPr>
        <w:pStyle w:val="ListParagraph"/>
        <w:numPr>
          <w:ilvl w:val="0"/>
          <w:numId w:val="2"/>
        </w:numPr>
        <w:spacing w:after="60" w:line="264"/>
      </w:pPr>
      <w:r>
        <w:rPr>
          <w:rFonts w:ascii="Arial" w:cs="Arial" w:eastAsia="Arial" w:hAnsi="Arial"/>
          <w:b/>
          <w:bCs/>
          <w:sz w:val="21"/>
          <w:szCs w:val="21"/>
        </w:rPr>
        <w:t xml:space="preserve">Población a mitad de año por edad simple y año </w:t>
      </w:r>
      <w:r>
        <w:rPr>
          <w:rFonts w:ascii="Arial" w:cs="Arial" w:eastAsia="Arial" w:hAnsi="Arial"/>
          <w:sz w:val="21"/>
          <w:szCs w:val="21"/>
        </w:rPr>
        <w:t xml:space="preserve">(00_Pob_Mitad_1950_2070.csv).</w:t>
      </w:r>
    </w:p>
    <w:p>
      <w:pPr>
        <w:pStyle w:val="ListParagraph"/>
        <w:numPr>
          <w:ilvl w:val="0"/>
          <w:numId w:val="2"/>
        </w:numPr>
        <w:spacing w:after="60" w:line="264"/>
      </w:pPr>
      <w:r>
        <w:rPr>
          <w:rFonts w:ascii="Arial" w:cs="Arial" w:eastAsia="Arial" w:hAnsi="Arial"/>
          <w:b/>
          <w:bCs/>
          <w:sz w:val="21"/>
          <w:szCs w:val="21"/>
        </w:rPr>
        <w:t xml:space="preserve">Indicadores demográficos </w:t>
      </w:r>
      <w:r>
        <w:rPr>
          <w:rFonts w:ascii="Arial" w:cs="Arial" w:eastAsia="Arial" w:hAnsi="Arial"/>
          <w:sz w:val="21"/>
          <w:szCs w:val="21"/>
        </w:rPr>
        <w:t xml:space="preserve">(05_indicadores_demograficos_proyecciones.csv): nacimientos, defunciones totales y esperanza de vida oficial.</w:t>
      </w:r>
    </w:p>
    <w:p>
      <w:pPr>
        <w:spacing w:after="120" w:before="80" w:line="276"/>
      </w:pPr>
      <w:r>
        <w:rPr>
          <w:rFonts w:ascii="Arial" w:cs="Arial" w:eastAsia="Arial" w:hAnsi="Arial"/>
          <w:sz w:val="21"/>
          <w:szCs w:val="21"/>
        </w:rPr>
        <w:t xml:space="preserve">CONAPO publica defunciones y población por entidad, así que los datos nacionales son la suma de las 32 entidades y de hombres y mujeres. Esa suma coincide exactamente con los totales nacionales del archivo de indicadores. Las defunciones por edad empiezan en 1970, por eso la generación de 1970 es la más antigua que se puede seguir de los 0 a los 100 años (hasta 2070).</w:t>
      </w:r>
    </w:p>
    <w:p>
      <w:pPr>
        <w:pStyle w:val="Heading1"/>
        <w:spacing w:after="110" w:before="260"/>
      </w:pPr>
      <w:r>
        <w:rPr>
          <w:rFonts w:ascii="Arial" w:cs="Arial" w:eastAsia="Arial" w:hAnsi="Arial"/>
          <w:b/>
          <w:bCs/>
          <w:color w:val="1F3864"/>
          <w:sz w:val="25"/>
          <w:szCs w:val="25"/>
        </w:rPr>
        <w:t xml:space="preserve">2. Método</w:t>
      </w:r>
    </w:p>
    <w:p>
      <w:pPr>
        <w:spacing w:after="120" w:line="276"/>
      </w:pPr>
      <w:r>
        <w:rPr>
          <w:rFonts w:ascii="Arial" w:cs="Arial" w:eastAsia="Arial" w:hAnsi="Arial"/>
          <w:sz w:val="21"/>
          <w:szCs w:val="21"/>
        </w:rPr>
        <w:t xml:space="preserve">Una generación es el conjunto de personas nacidas en el mismo año. Se sigue a la generación de 1970 edad por edad: a la edad x le corresponde el año calendario 1970 + x. Con esos datos se llena la plantilla de clase:</w:t>
      </w:r>
    </w:p>
    <w:p>
      <w:pPr>
        <w:spacing w:after="50"/>
        <w:ind w:left="540"/>
      </w:pPr>
      <w:r>
        <w:rPr>
          <w:rFonts w:ascii="Consolas" w:cs="Consolas" w:eastAsia="Consolas" w:hAnsi="Consolas"/>
          <w:sz w:val="20"/>
          <w:szCs w:val="20"/>
        </w:rPr>
        <w:t xml:space="preserve">q(0) = defunciones de menores de 1 año / nacimientos</w:t>
      </w:r>
    </w:p>
    <w:p>
      <w:pPr>
        <w:spacing w:after="50"/>
        <w:ind w:left="540"/>
      </w:pPr>
      <w:r>
        <w:rPr>
          <w:rFonts w:ascii="Consolas" w:cs="Consolas" w:eastAsia="Consolas" w:hAnsi="Consolas"/>
          <w:sz w:val="20"/>
          <w:szCs w:val="20"/>
        </w:rPr>
        <w:t xml:space="preserve">q(x) = defunciones / (población a mitad de año + defunciones / 2),  x = 1, …, 99</w:t>
      </w:r>
    </w:p>
    <w:p>
      <w:pPr>
        <w:spacing w:after="50"/>
        <w:ind w:left="540"/>
      </w:pPr>
      <w:r>
        <w:rPr>
          <w:rFonts w:ascii="Consolas" w:cs="Consolas" w:eastAsia="Consolas" w:hAnsi="Consolas"/>
          <w:sz w:val="20"/>
          <w:szCs w:val="20"/>
        </w:rPr>
        <w:t xml:space="preserve">q(100) = 1   (100 y más es el grupo abierto)</w:t>
      </w:r>
    </w:p>
    <w:p>
      <w:pPr>
        <w:spacing w:after="50"/>
        <w:ind w:left="540"/>
      </w:pPr>
      <w:r>
        <w:rPr>
          <w:rFonts w:ascii="Consolas" w:cs="Consolas" w:eastAsia="Consolas" w:hAnsi="Consolas"/>
          <w:sz w:val="20"/>
          <w:szCs w:val="20"/>
        </w:rPr>
        <w:t xml:space="preserve">l0 = 100,000;  dx = lx · qx;  l(x+1) = lx − dx</w:t>
      </w:r>
    </w:p>
    <w:p>
      <w:pPr>
        <w:spacing w:after="50"/>
        <w:ind w:left="540"/>
      </w:pPr>
      <w:r>
        <w:rPr>
          <w:rFonts w:ascii="Consolas" w:cs="Consolas" w:eastAsia="Consolas" w:hAnsi="Consolas"/>
          <w:sz w:val="20"/>
          <w:szCs w:val="20"/>
        </w:rPr>
        <w:t xml:space="preserve">Lx = l(x+1) + dx / 2;  Tx = suma de Lx desde x;  ex = Tx / lx</w:t>
      </w:r>
    </w:p>
    <w:p>
      <w:pPr>
        <w:spacing w:after="120" w:before="80" w:line="276"/>
      </w:pPr>
      <w:r>
        <w:rPr>
          <w:rFonts w:ascii="Arial" w:cs="Arial" w:eastAsia="Arial" w:hAnsi="Arial"/>
          <w:sz w:val="21"/>
          <w:szCs w:val="21"/>
        </w:rPr>
        <w:t xml:space="preserve">Como en la plantilla, dx y Lx se redondean a enteros. Se usa la población a mitad de año en lugar de los nacimientos acumulados porque así la migración internacional ya está incluida en el denominador: la población expuesta al riesgo es la que vive en México.</w:t>
      </w:r>
    </w:p>
    <w:p>
      <w:pPr>
        <w:pStyle w:val="Heading1"/>
        <w:spacing w:after="110" w:before="260"/>
      </w:pPr>
      <w:r>
        <w:rPr>
          <w:rFonts w:ascii="Arial" w:cs="Arial" w:eastAsia="Arial" w:hAnsi="Arial"/>
          <w:b/>
          <w:bCs/>
          <w:color w:val="1F3864"/>
          <w:sz w:val="25"/>
          <w:szCs w:val="25"/>
        </w:rPr>
        <w:t xml:space="preserve">3. Resultados</w:t>
      </w:r>
    </w:p>
    <w:p>
      <w:pPr>
        <w:spacing w:after="120" w:line="276"/>
      </w:pPr>
      <w:r>
        <w:rPr>
          <w:rFonts w:ascii="Arial" w:cs="Arial" w:eastAsia="Arial" w:hAnsi="Arial"/>
          <w:sz w:val="21"/>
          <w:szCs w:val="21"/>
        </w:rPr>
        <w:t xml:space="preserve">La esperanza de vida al nacer de la generación de 1970 es de 70.9 años, y a los 65 años les quedan 21.2 años más. De cada 100,000 nacidos, 72,757 llegan a los 65 años y 51,809 a los 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4"/>
              <w:left w:val="single" w:color="BFBFBF" w:sz="4"/>
              <w:bottom w:val="single" w:color="BFBFBF" w:sz="4"/>
              <w:right w:val="single" w:color="BFBFBF" w:sz="4"/>
            </w:tcBorders>
            <w:shd w:fill="DCE3F0" w:color="auto" w:val="clear"/>
            <w:tcMar>
              <w:top w:type="dxa" w:w="45"/>
              <w:left w:type="dxa" w:w="80"/>
              <w:bottom w:type="dxa" w:w="45"/>
              <w:right w:type="dxa" w:w="80"/>
            </w:tcMar>
          </w:tcPr>
          <w:p>
            <w:pPr>
              <w:keepNext/>
              <w:jc w:val="center"/>
            </w:pPr>
            <w:r>
              <w:rPr>
                <w:rFonts w:ascii="Arial" w:cs="Arial" w:eastAsia="Arial" w:hAnsi="Arial"/>
                <w:b/>
                <w:bCs/>
                <w:sz w:val="18"/>
                <w:szCs w:val="18"/>
              </w:rPr>
              <w:t xml:space="preserve">Indicador</w:t>
            </w:r>
          </w:p>
        </w:tc>
        <w:tc>
          <w:tcPr>
            <w:tcW w:type="dxa" w:w="3000"/>
            <w:tcBorders>
              <w:top w:val="single" w:color="BFBFBF" w:sz="4"/>
              <w:left w:val="single" w:color="BFBFBF" w:sz="4"/>
              <w:bottom w:val="single" w:color="BFBFBF" w:sz="4"/>
              <w:right w:val="single" w:color="BFBFBF" w:sz="4"/>
            </w:tcBorders>
            <w:shd w:fill="DCE3F0" w:color="auto" w:val="clear"/>
            <w:tcMar>
              <w:top w:type="dxa" w:w="45"/>
              <w:left w:type="dxa" w:w="80"/>
              <w:bottom w:type="dxa" w:w="45"/>
              <w:right w:type="dxa" w:w="80"/>
            </w:tcMar>
          </w:tcPr>
          <w:p>
            <w:pPr>
              <w:keepNext/>
              <w:jc w:val="center"/>
            </w:pPr>
            <w:r>
              <w:rPr>
                <w:rFonts w:ascii="Arial" w:cs="Arial" w:eastAsia="Arial" w:hAnsi="Arial"/>
                <w:b/>
                <w:bCs/>
                <w:sz w:val="18"/>
                <w:szCs w:val="18"/>
              </w:rPr>
              <w:t xml:space="preserve">Valor</w:t>
            </w:r>
          </w:p>
        </w:tc>
      </w:tr>
      <w:tr>
        <w:tc>
          <w:tcPr>
            <w:tcW w:type="dxa" w:w="63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e0: esperanza de vida al nacer (años)</w:t>
            </w:r>
          </w:p>
        </w:tc>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70.93</w:t>
            </w:r>
          </w:p>
        </w:tc>
      </w:tr>
      <w:tr>
        <w:tc>
          <w:tcPr>
            <w:tcW w:type="dxa" w:w="63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e1: esperanza de vida a los 1 año (años)</w:t>
            </w:r>
          </w:p>
        </w:tc>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75.69</w:t>
            </w:r>
          </w:p>
        </w:tc>
      </w:tr>
      <w:tr>
        <w:tc>
          <w:tcPr>
            <w:tcW w:type="dxa" w:w="63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e65: esperanza de vida a los 65 años (años)</w:t>
            </w:r>
          </w:p>
        </w:tc>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21.18</w:t>
            </w:r>
          </w:p>
        </w:tc>
      </w:tr>
      <w:tr>
        <w:tc>
          <w:tcPr>
            <w:tcW w:type="dxa" w:w="63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q(0): mortalidad infantil (por mil)</w:t>
            </w:r>
          </w:p>
        </w:tc>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75.6</w:t>
            </w:r>
          </w:p>
        </w:tc>
      </w:tr>
      <w:tr>
        <w:tc>
          <w:tcPr>
            <w:tcW w:type="dxa" w:w="63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5q0: probabilidad de morir antes de los 5 años (por mil)</w:t>
            </w:r>
          </w:p>
        </w:tc>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101.5</w:t>
            </w:r>
          </w:p>
        </w:tc>
      </w:tr>
      <w:tr>
        <w:tc>
          <w:tcPr>
            <w:tcW w:type="dxa" w:w="63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Probabilidad de llegar con vida a los 65 años</w:t>
            </w:r>
          </w:p>
        </w:tc>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72.8 %</w:t>
            </w:r>
          </w:p>
        </w:tc>
      </w:tr>
      <w:tr>
        <w:tc>
          <w:tcPr>
            <w:tcW w:type="dxa" w:w="63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Probabilidad de llegar con vida a los 80 años</w:t>
            </w:r>
          </w:p>
        </w:tc>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51.8 %</w:t>
            </w:r>
          </w:p>
        </w:tc>
      </w:tr>
      <w:tr>
        <w:tc>
          <w:tcPr>
            <w:tcW w:type="dxa" w:w="63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Edad en la que muere la mitad de la generación (años cumplidos)</w:t>
            </w:r>
          </w:p>
        </w:tc>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80</w:t>
            </w:r>
          </w:p>
        </w:tc>
      </w:tr>
    </w:tbl>
    <w:p>
      <w:pPr>
        <w:spacing w:after="60"/>
      </w:pPr>
      <w:r>
        <w:rPr>
          <w:rFonts w:ascii="Arial" w:cs="Arial" w:eastAsia="Arial" w:hAnsi="Arial"/>
          <w:sz w:val="21"/>
          <w:szCs w:val="21"/>
        </w:rPr>
        <w:t xml:space="preserve"/>
      </w:r>
    </w:p>
    <w:p>
      <w:pPr>
        <w:keepNext/>
        <w:spacing w:after="120" w:line="276"/>
      </w:pPr>
      <w:r>
        <w:rPr>
          <w:rFonts w:ascii="Arial" w:cs="Arial" w:eastAsia="Arial" w:hAnsi="Arial"/>
          <w:sz w:val="21"/>
          <w:szCs w:val="21"/>
        </w:rPr>
        <w:t xml:space="preserve">Extracto de la tabla (la tabla completa de 0 a 100 años está en el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400"/>
        <w:gridCol w:w="1400"/>
        <w:gridCol w:w="1400"/>
        <w:gridCol w:w="1560"/>
        <w:gridCol w:w="1200"/>
      </w:tblGrid>
      <w:tr>
        <w:trPr>
          <w:tblHeader/>
        </w:trPr>
        <w:tc>
          <w:tcPr>
            <w:tcW w:type="dxa" w:w="900"/>
            <w:tcBorders>
              <w:top w:val="single" w:color="BFBFBF" w:sz="4"/>
              <w:left w:val="single" w:color="BFBFBF" w:sz="4"/>
              <w:bottom w:val="single" w:color="BFBFBF" w:sz="4"/>
              <w:right w:val="single" w:color="BFBFBF" w:sz="4"/>
            </w:tcBorders>
            <w:shd w:fill="DCE3F0" w:color="auto" w:val="clear"/>
            <w:tcMar>
              <w:top w:type="dxa" w:w="45"/>
              <w:left w:type="dxa" w:w="80"/>
              <w:bottom w:type="dxa" w:w="45"/>
              <w:right w:type="dxa" w:w="80"/>
            </w:tcMar>
          </w:tcPr>
          <w:p>
            <w:pPr>
              <w:keepNext/>
              <w:jc w:val="center"/>
            </w:pPr>
            <w:r>
              <w:rPr>
                <w:rFonts w:ascii="Arial" w:cs="Arial" w:eastAsia="Arial" w:hAnsi="Arial"/>
                <w:b/>
                <w:bCs/>
                <w:sz w:val="18"/>
                <w:szCs w:val="18"/>
              </w:rPr>
              <w:t xml:space="preserve">x</w:t>
            </w:r>
          </w:p>
        </w:tc>
        <w:tc>
          <w:tcPr>
            <w:tcW w:type="dxa" w:w="1500"/>
            <w:tcBorders>
              <w:top w:val="single" w:color="BFBFBF" w:sz="4"/>
              <w:left w:val="single" w:color="BFBFBF" w:sz="4"/>
              <w:bottom w:val="single" w:color="BFBFBF" w:sz="4"/>
              <w:right w:val="single" w:color="BFBFBF" w:sz="4"/>
            </w:tcBorders>
            <w:shd w:fill="DCE3F0" w:color="auto" w:val="clear"/>
            <w:tcMar>
              <w:top w:type="dxa" w:w="45"/>
              <w:left w:type="dxa" w:w="80"/>
              <w:bottom w:type="dxa" w:w="45"/>
              <w:right w:type="dxa" w:w="80"/>
            </w:tcMar>
          </w:tcPr>
          <w:p>
            <w:pPr>
              <w:keepNext/>
              <w:jc w:val="center"/>
            </w:pPr>
            <w:r>
              <w:rPr>
                <w:rFonts w:ascii="Arial" w:cs="Arial" w:eastAsia="Arial" w:hAnsi="Arial"/>
                <w:b/>
                <w:bCs/>
                <w:sz w:val="18"/>
                <w:szCs w:val="18"/>
              </w:rPr>
              <w:t xml:space="preserve">qx</w:t>
            </w:r>
          </w:p>
        </w:tc>
        <w:tc>
          <w:tcPr>
            <w:tcW w:type="dxa" w:w="1400"/>
            <w:tcBorders>
              <w:top w:val="single" w:color="BFBFBF" w:sz="4"/>
              <w:left w:val="single" w:color="BFBFBF" w:sz="4"/>
              <w:bottom w:val="single" w:color="BFBFBF" w:sz="4"/>
              <w:right w:val="single" w:color="BFBFBF" w:sz="4"/>
            </w:tcBorders>
            <w:shd w:fill="DCE3F0" w:color="auto" w:val="clear"/>
            <w:tcMar>
              <w:top w:type="dxa" w:w="45"/>
              <w:left w:type="dxa" w:w="80"/>
              <w:bottom w:type="dxa" w:w="45"/>
              <w:right w:type="dxa" w:w="80"/>
            </w:tcMar>
          </w:tcPr>
          <w:p>
            <w:pPr>
              <w:keepNext/>
              <w:jc w:val="center"/>
            </w:pPr>
            <w:r>
              <w:rPr>
                <w:rFonts w:ascii="Arial" w:cs="Arial" w:eastAsia="Arial" w:hAnsi="Arial"/>
                <w:b/>
                <w:bCs/>
                <w:sz w:val="18"/>
                <w:szCs w:val="18"/>
              </w:rPr>
              <w:t xml:space="preserve">lx</w:t>
            </w:r>
          </w:p>
        </w:tc>
        <w:tc>
          <w:tcPr>
            <w:tcW w:type="dxa" w:w="1400"/>
            <w:tcBorders>
              <w:top w:val="single" w:color="BFBFBF" w:sz="4"/>
              <w:left w:val="single" w:color="BFBFBF" w:sz="4"/>
              <w:bottom w:val="single" w:color="BFBFBF" w:sz="4"/>
              <w:right w:val="single" w:color="BFBFBF" w:sz="4"/>
            </w:tcBorders>
            <w:shd w:fill="DCE3F0" w:color="auto" w:val="clear"/>
            <w:tcMar>
              <w:top w:type="dxa" w:w="45"/>
              <w:left w:type="dxa" w:w="80"/>
              <w:bottom w:type="dxa" w:w="45"/>
              <w:right w:type="dxa" w:w="80"/>
            </w:tcMar>
          </w:tcPr>
          <w:p>
            <w:pPr>
              <w:keepNext/>
              <w:jc w:val="center"/>
            </w:pPr>
            <w:r>
              <w:rPr>
                <w:rFonts w:ascii="Arial" w:cs="Arial" w:eastAsia="Arial" w:hAnsi="Arial"/>
                <w:b/>
                <w:bCs/>
                <w:sz w:val="18"/>
                <w:szCs w:val="18"/>
              </w:rPr>
              <w:t xml:space="preserve">dx</w:t>
            </w:r>
          </w:p>
        </w:tc>
        <w:tc>
          <w:tcPr>
            <w:tcW w:type="dxa" w:w="1400"/>
            <w:tcBorders>
              <w:top w:val="single" w:color="BFBFBF" w:sz="4"/>
              <w:left w:val="single" w:color="BFBFBF" w:sz="4"/>
              <w:bottom w:val="single" w:color="BFBFBF" w:sz="4"/>
              <w:right w:val="single" w:color="BFBFBF" w:sz="4"/>
            </w:tcBorders>
            <w:shd w:fill="DCE3F0" w:color="auto" w:val="clear"/>
            <w:tcMar>
              <w:top w:type="dxa" w:w="45"/>
              <w:left w:type="dxa" w:w="80"/>
              <w:bottom w:type="dxa" w:w="45"/>
              <w:right w:type="dxa" w:w="80"/>
            </w:tcMar>
          </w:tcPr>
          <w:p>
            <w:pPr>
              <w:keepNext/>
              <w:jc w:val="center"/>
            </w:pPr>
            <w:r>
              <w:rPr>
                <w:rFonts w:ascii="Arial" w:cs="Arial" w:eastAsia="Arial" w:hAnsi="Arial"/>
                <w:b/>
                <w:bCs/>
                <w:sz w:val="18"/>
                <w:szCs w:val="18"/>
              </w:rPr>
              <w:t xml:space="preserve">Lx</w:t>
            </w:r>
          </w:p>
        </w:tc>
        <w:tc>
          <w:tcPr>
            <w:tcW w:type="dxa" w:w="1560"/>
            <w:tcBorders>
              <w:top w:val="single" w:color="BFBFBF" w:sz="4"/>
              <w:left w:val="single" w:color="BFBFBF" w:sz="4"/>
              <w:bottom w:val="single" w:color="BFBFBF" w:sz="4"/>
              <w:right w:val="single" w:color="BFBFBF" w:sz="4"/>
            </w:tcBorders>
            <w:shd w:fill="DCE3F0" w:color="auto" w:val="clear"/>
            <w:tcMar>
              <w:top w:type="dxa" w:w="45"/>
              <w:left w:type="dxa" w:w="80"/>
              <w:bottom w:type="dxa" w:w="45"/>
              <w:right w:type="dxa" w:w="80"/>
            </w:tcMar>
          </w:tcPr>
          <w:p>
            <w:pPr>
              <w:keepNext/>
              <w:jc w:val="center"/>
            </w:pPr>
            <w:r>
              <w:rPr>
                <w:rFonts w:ascii="Arial" w:cs="Arial" w:eastAsia="Arial" w:hAnsi="Arial"/>
                <w:b/>
                <w:bCs/>
                <w:sz w:val="18"/>
                <w:szCs w:val="18"/>
              </w:rPr>
              <w:t xml:space="preserve">Tx</w:t>
            </w:r>
          </w:p>
        </w:tc>
        <w:tc>
          <w:tcPr>
            <w:tcW w:type="dxa" w:w="1200"/>
            <w:tcBorders>
              <w:top w:val="single" w:color="BFBFBF" w:sz="4"/>
              <w:left w:val="single" w:color="BFBFBF" w:sz="4"/>
              <w:bottom w:val="single" w:color="BFBFBF" w:sz="4"/>
              <w:right w:val="single" w:color="BFBFBF" w:sz="4"/>
            </w:tcBorders>
            <w:shd w:fill="DCE3F0" w:color="auto" w:val="clear"/>
            <w:tcMar>
              <w:top w:type="dxa" w:w="45"/>
              <w:left w:type="dxa" w:w="80"/>
              <w:bottom w:type="dxa" w:w="45"/>
              <w:right w:type="dxa" w:w="80"/>
            </w:tcMar>
          </w:tcPr>
          <w:p>
            <w:pPr>
              <w:keepNext/>
              <w:jc w:val="center"/>
            </w:pPr>
            <w:r>
              <w:rPr>
                <w:rFonts w:ascii="Arial" w:cs="Arial" w:eastAsia="Arial" w:hAnsi="Arial"/>
                <w:b/>
                <w:bCs/>
                <w:sz w:val="18"/>
                <w:szCs w:val="18"/>
              </w:rPr>
              <w:t xml:space="preserve">ex</w:t>
            </w:r>
          </w:p>
        </w:tc>
      </w:tr>
      <w:tr>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0.075646</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100,000</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7,565</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96,218</w:t>
            </w:r>
          </w:p>
        </w:tc>
        <w:tc>
          <w:tcPr>
            <w:tcW w:type="dxa" w:w="15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7,093,053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70.93</w:t>
            </w:r>
          </w:p>
        </w:tc>
      </w:tr>
      <w:tr>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1</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0.015049</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92,435</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1,391</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91,740</w:t>
            </w:r>
          </w:p>
        </w:tc>
        <w:tc>
          <w:tcPr>
            <w:tcW w:type="dxa" w:w="15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6,996,835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75.69</w:t>
            </w:r>
          </w:p>
        </w:tc>
      </w:tr>
      <w:tr>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5</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0.001597</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89,850</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143</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89,779</w:t>
            </w:r>
          </w:p>
        </w:tc>
        <w:tc>
          <w:tcPr>
            <w:tcW w:type="dxa" w:w="15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6,634,168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73.84</w:t>
            </w:r>
          </w:p>
        </w:tc>
      </w:tr>
      <w:tr>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0.000765</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89,339</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68</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89,305</w:t>
            </w:r>
          </w:p>
        </w:tc>
        <w:tc>
          <w:tcPr>
            <w:tcW w:type="dxa" w:w="15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6,186,378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69.25</w:t>
            </w:r>
          </w:p>
        </w:tc>
      </w:tr>
      <w:tr>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20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0.001200</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88,549</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106</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88,496</w:t>
            </w:r>
          </w:p>
        </w:tc>
        <w:tc>
          <w:tcPr>
            <w:tcW w:type="dxa" w:w="15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5,296,593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59.82</w:t>
            </w:r>
          </w:p>
        </w:tc>
      </w:tr>
      <w:tr>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30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0.001618</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87,274</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141</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87,204</w:t>
            </w:r>
          </w:p>
        </w:tc>
        <w:tc>
          <w:tcPr>
            <w:tcW w:type="dxa" w:w="15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4,417,139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50.61</w:t>
            </w:r>
          </w:p>
        </w:tc>
      </w:tr>
      <w:tr>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40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0.003048</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85,628</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261</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85,498</w:t>
            </w:r>
          </w:p>
        </w:tc>
        <w:tc>
          <w:tcPr>
            <w:tcW w:type="dxa" w:w="15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3,551,990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41.48</w:t>
            </w:r>
          </w:p>
        </w:tc>
      </w:tr>
      <w:tr>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50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0.009198</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82,496</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759</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82,117</w:t>
            </w:r>
          </w:p>
        </w:tc>
        <w:tc>
          <w:tcPr>
            <w:tcW w:type="dxa" w:w="15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2,709,963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32.85</w:t>
            </w:r>
          </w:p>
        </w:tc>
      </w:tr>
      <w:tr>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60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0.008938</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76,619</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685</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76,277</w:t>
            </w:r>
          </w:p>
        </w:tc>
        <w:tc>
          <w:tcPr>
            <w:tcW w:type="dxa" w:w="15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1,915,084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24.99</w:t>
            </w:r>
          </w:p>
        </w:tc>
      </w:tr>
      <w:tr>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65</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0.012630</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72,757</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919</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72,298</w:t>
            </w:r>
          </w:p>
        </w:tc>
        <w:tc>
          <w:tcPr>
            <w:tcW w:type="dxa" w:w="15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1,541,191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21.18</w:t>
            </w:r>
          </w:p>
        </w:tc>
      </w:tr>
      <w:tr>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70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0.018211</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67,570</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1,230</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66,955</w:t>
            </w:r>
          </w:p>
        </w:tc>
        <w:tc>
          <w:tcPr>
            <w:tcW w:type="dxa" w:w="15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1,189,764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17.61</w:t>
            </w:r>
          </w:p>
        </w:tc>
      </w:tr>
      <w:tr>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80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0.038949</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51,809</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2,018</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50,800</w:t>
            </w:r>
          </w:p>
        </w:tc>
        <w:tc>
          <w:tcPr>
            <w:tcW w:type="dxa" w:w="15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586,348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11.32</w:t>
            </w:r>
          </w:p>
        </w:tc>
      </w:tr>
      <w:tr>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90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0.084917</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28,881</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2,453</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27,655</w:t>
            </w:r>
          </w:p>
        </w:tc>
        <w:tc>
          <w:tcPr>
            <w:tcW w:type="dxa" w:w="15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178,697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6.19</w:t>
            </w:r>
          </w:p>
        </w:tc>
      </w:tr>
      <w:tr>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99</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0.169440</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9,287</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1,574</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8,500</w:t>
            </w:r>
          </w:p>
        </w:tc>
        <w:tc>
          <w:tcPr>
            <w:tcW w:type="dxa" w:w="15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12,357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1.33</w:t>
            </w:r>
          </w:p>
        </w:tc>
      </w:tr>
      <w:tr>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Arial" w:cs="Arial" w:eastAsia="Arial" w:hAnsi="Arial"/>
                <w:b/>
                <w:bCs/>
                <w:sz w:val="18"/>
                <w:szCs w:val="18"/>
              </w:rPr>
              <w:t xml:space="preserve">100+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1.000000</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7,713</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7,713</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3,857</w:t>
            </w:r>
          </w:p>
        </w:tc>
        <w:tc>
          <w:tcPr>
            <w:tcW w:type="dxa" w:w="156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3,857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Arial" w:cs="Arial" w:eastAsia="Arial" w:hAnsi="Arial"/>
                <w:b w:val="false"/>
                <w:bCs w:val="false"/>
                <w:sz w:val="18"/>
                <w:szCs w:val="18"/>
              </w:rPr>
              <w:t xml:space="preserve">0.50</w:t>
            </w:r>
          </w:p>
        </w:tc>
      </w:tr>
    </w:tbl>
    <w:p>
      <w:pPr>
        <w:spacing w:after="80"/>
      </w:pPr>
      <w:r>
        <w:rPr>
          <w:rFonts w:ascii="Arial" w:cs="Arial" w:eastAsia="Arial" w:hAnsi="Arial"/>
          <w:sz w:val="21"/>
          <w:szCs w:val="21"/>
        </w:rPr>
        <w:t xml:space="preserve"/>
      </w:r>
    </w:p>
    <w:p>
      <w:pPr>
        <w:keepNext/>
        <w:spacing w:after="30" w:before="100"/>
        <w:jc w:val="center"/>
      </w:pPr>
      <w:r>
        <w:drawing>
          <wp:inline distT="0" distB="0" distL="0" distR="0">
            <wp:extent cx="4476750" cy="2486025"/>
            <wp:effectExtent t="0" r="0" b="0" l="0"/>
            <wp:docPr id="1" name="lx_sobrevivientes.png" descr="Figura 1. Sobrevivientes lx de la generación de 1970." title="lx_sobrevivien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486025"/>
                    </a:xfrm>
                    <a:prstGeom prst="rect">
                      <a:avLst/>
                    </a:prstGeom>
                  </pic:spPr>
                </pic:pic>
              </a:graphicData>
            </a:graphic>
          </wp:inline>
        </w:drawing>
      </w:r>
    </w:p>
    <w:p>
      <w:pPr>
        <w:spacing w:after="150"/>
        <w:jc w:val="center"/>
      </w:pPr>
      <w:r>
        <w:rPr>
          <w:rFonts w:ascii="Arial" w:cs="Arial" w:eastAsia="Arial" w:hAnsi="Arial"/>
          <w:i/>
          <w:iCs/>
          <w:color w:val="595959"/>
          <w:sz w:val="17"/>
          <w:szCs w:val="17"/>
        </w:rPr>
        <w:t xml:space="preserve">Figura 1. Sobrevivientes lx de la generación de 1970.</w:t>
      </w:r>
    </w:p>
    <w:p>
      <w:pPr>
        <w:keepNext/>
        <w:spacing w:after="30" w:before="100"/>
        <w:jc w:val="center"/>
      </w:pPr>
      <w:r>
        <w:drawing>
          <wp:inline distT="0" distB="0" distL="0" distR="0">
            <wp:extent cx="4476750" cy="2486025"/>
            <wp:effectExtent t="0" r="0" b="0" l="0"/>
            <wp:docPr id="1" name="qx_log.png" descr="Figura 2. Probabilidad de morir qx por edad (escala logarítmica)." title="qx_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486025"/>
                    </a:xfrm>
                    <a:prstGeom prst="rect">
                      <a:avLst/>
                    </a:prstGeom>
                  </pic:spPr>
                </pic:pic>
              </a:graphicData>
            </a:graphic>
          </wp:inline>
        </w:drawing>
      </w:r>
    </w:p>
    <w:p>
      <w:pPr>
        <w:spacing w:after="150"/>
        <w:jc w:val="center"/>
      </w:pPr>
      <w:r>
        <w:rPr>
          <w:rFonts w:ascii="Arial" w:cs="Arial" w:eastAsia="Arial" w:hAnsi="Arial"/>
          <w:i/>
          <w:iCs/>
          <w:color w:val="595959"/>
          <w:sz w:val="17"/>
          <w:szCs w:val="17"/>
        </w:rPr>
        <w:t xml:space="preserve">Figura 2. Probabilidad de morir qx por edad (escala logarítmica).</w:t>
      </w:r>
    </w:p>
    <w:p>
      <w:pPr>
        <w:pStyle w:val="Heading1"/>
        <w:spacing w:after="110" w:before="260"/>
      </w:pPr>
      <w:r>
        <w:rPr>
          <w:rFonts w:ascii="Arial" w:cs="Arial" w:eastAsia="Arial" w:hAnsi="Arial"/>
          <w:b/>
          <w:bCs/>
          <w:color w:val="1F3864"/>
          <w:sz w:val="25"/>
          <w:szCs w:val="25"/>
        </w:rPr>
        <w:t xml:space="preserve">4. Análisis</w:t>
      </w:r>
    </w:p>
    <w:p>
      <w:pPr>
        <w:spacing w:after="120" w:line="276"/>
      </w:pPr>
      <w:r>
        <w:rPr>
          <w:rFonts w:ascii="Arial" w:cs="Arial" w:eastAsia="Arial" w:hAnsi="Arial"/>
          <w:b/>
          <w:bCs/>
          <w:sz w:val="21"/>
          <w:szCs w:val="21"/>
        </w:rPr>
        <w:t xml:space="preserve">Primer año de vida. </w:t>
      </w:r>
      <w:r>
        <w:rPr>
          <w:rFonts w:ascii="Arial" w:cs="Arial" w:eastAsia="Arial" w:hAnsi="Arial"/>
          <w:sz w:val="21"/>
          <w:szCs w:val="21"/>
        </w:rPr>
        <w:t xml:space="preserve">De 100,000 nacidos mueren 7,565 antes de cumplir un año (75.6 por mil). Es el riesgo más alto de la vida hasta los 88 años, y por eso la esperanza de vida a los 1 año (75.7) es mayor que al nacer (70.9): quien sobrevive el primer año gana casi cinco años de esperanza de vida. El riesgo baja rápido y llega a su mínimo a los 13 años (qx = 0.00073).</w:t>
      </w:r>
    </w:p>
    <w:p>
      <w:pPr>
        <w:spacing w:after="120" w:line="276"/>
      </w:pPr>
      <w:r>
        <w:rPr>
          <w:rFonts w:ascii="Arial" w:cs="Arial" w:eastAsia="Arial" w:hAnsi="Arial"/>
          <w:b/>
          <w:bCs/>
          <w:sz w:val="21"/>
          <w:szCs w:val="21"/>
        </w:rPr>
        <w:t xml:space="preserve">Vida adulta. </w:t>
      </w:r>
      <w:r>
        <w:rPr>
          <w:rFonts w:ascii="Arial" w:cs="Arial" w:eastAsia="Arial" w:hAnsi="Arial"/>
          <w:sz w:val="21"/>
          <w:szCs w:val="21"/>
        </w:rPr>
        <w:t xml:space="preserve">A partir de la adolescencia qx crece de forma casi exponencial: 0.0092 a los 50 años, 0.039 a los 80 y 0.169 a los 99. La mitad de la generación muere antes de los 81 años y las defunciones adultas se concentran alrededor de los 89 años.</w:t>
      </w:r>
    </w:p>
    <w:p>
      <w:pPr>
        <w:spacing w:after="120" w:line="276"/>
      </w:pPr>
      <w:r>
        <w:rPr>
          <w:rFonts w:ascii="Arial" w:cs="Arial" w:eastAsia="Arial" w:hAnsi="Arial"/>
          <w:b/>
          <w:bCs/>
          <w:sz w:val="21"/>
          <w:szCs w:val="21"/>
        </w:rPr>
        <w:t xml:space="preserve">La pandemia. </w:t>
      </w:r>
      <w:r>
        <w:rPr>
          <w:rFonts w:ascii="Arial" w:cs="Arial" w:eastAsia="Arial" w:hAnsi="Arial"/>
          <w:sz w:val="21"/>
          <w:szCs w:val="21"/>
        </w:rPr>
        <w:t xml:space="preserve">A los 50 y 51 años (años calendario 2020 y 2021) qx se dispara a 0.0092 y vuelve a bajar a 0.0056 a los 52. Es el efecto del COVID-19, que CONAPO incorpora en su reconstrucción, y se ve también en la esperanza de vida de periodo (Figura 3).</w:t>
      </w:r>
    </w:p>
    <w:p>
      <w:pPr>
        <w:spacing w:after="120" w:line="276"/>
      </w:pPr>
      <w:r>
        <w:rPr>
          <w:rFonts w:ascii="Arial" w:cs="Arial" w:eastAsia="Arial" w:hAnsi="Arial"/>
          <w:b/>
          <w:bCs/>
          <w:sz w:val="21"/>
          <w:szCs w:val="21"/>
        </w:rPr>
        <w:t xml:space="preserve">Generación frente a periodo. </w:t>
      </w:r>
      <w:r>
        <w:rPr>
          <w:rFonts w:ascii="Arial" w:cs="Arial" w:eastAsia="Arial" w:hAnsi="Arial"/>
          <w:sz w:val="21"/>
          <w:szCs w:val="21"/>
        </w:rPr>
        <w:t xml:space="preserve">La e0 de esta generación (70.9) es mayor que la e0 oficial de CONAPO para 1970 (60.3) y menor que la de 2019 (74.8): la generación nació con la mortalidad infantil de 1970, pero después vivió las mejoras de las décadas siguientes. Una e0 de periodo mide la mortalidad de un solo año; una de generación sigue a las mismas personas.</w:t>
      </w:r>
    </w:p>
    <w:p>
      <w:pPr>
        <w:keepNext/>
        <w:spacing w:after="30" w:before="100"/>
        <w:jc w:val="center"/>
      </w:pPr>
      <w:r>
        <w:drawing>
          <wp:inline distT="0" distB="0" distL="0" distR="0">
            <wp:extent cx="4476750" cy="2486025"/>
            <wp:effectExtent t="0" r="0" b="0" l="0"/>
            <wp:docPr id="1" name="validacion_e0_periodo.png" descr="Figura 3. e0 de periodo con las fórmulas de la tabla frente a la e0 oficial de CONAPO." title="validacion_e0_perio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486025"/>
                    </a:xfrm>
                    <a:prstGeom prst="rect">
                      <a:avLst/>
                    </a:prstGeom>
                  </pic:spPr>
                </pic:pic>
              </a:graphicData>
            </a:graphic>
          </wp:inline>
        </w:drawing>
      </w:r>
    </w:p>
    <w:p>
      <w:pPr>
        <w:spacing w:after="150"/>
        <w:jc w:val="center"/>
      </w:pPr>
      <w:r>
        <w:rPr>
          <w:rFonts w:ascii="Arial" w:cs="Arial" w:eastAsia="Arial" w:hAnsi="Arial"/>
          <w:i/>
          <w:iCs/>
          <w:color w:val="595959"/>
          <w:sz w:val="17"/>
          <w:szCs w:val="17"/>
        </w:rPr>
        <w:t xml:space="preserve">Figura 3. e0 de periodo con las fórmulas de la tabla frente a la e0 oficial de CONAPO.</w:t>
      </w:r>
    </w:p>
    <w:p>
      <w:pPr>
        <w:spacing w:after="120" w:line="276"/>
      </w:pPr>
      <w:r>
        <w:rPr>
          <w:rFonts w:ascii="Arial" w:cs="Arial" w:eastAsia="Arial" w:hAnsi="Arial"/>
          <w:b/>
          <w:bCs/>
          <w:sz w:val="21"/>
          <w:szCs w:val="21"/>
        </w:rPr>
        <w:t xml:space="preserve">Validación. </w:t>
      </w:r>
      <w:r>
        <w:rPr>
          <w:rFonts w:ascii="Arial" w:cs="Arial" w:eastAsia="Arial" w:hAnsi="Arial"/>
          <w:sz w:val="21"/>
          <w:szCs w:val="21"/>
        </w:rPr>
        <w:t xml:space="preserve">Aplicando las mismas fórmulas a cada año calendario (1970-2070), la e0 que sale difiere de la oficial de CONAPO en 0.05 años en promedio y 0.27 años como máximo. Es una comprobación de que las fórmulas y los datos están bien armados.</w:t>
      </w:r>
    </w:p>
    <w:p>
      <w:pPr>
        <w:pStyle w:val="Heading1"/>
        <w:spacing w:after="110" w:before="260"/>
      </w:pPr>
      <w:r>
        <w:rPr>
          <w:rFonts w:ascii="Arial" w:cs="Arial" w:eastAsia="Arial" w:hAnsi="Arial"/>
          <w:b/>
          <w:bCs/>
          <w:color w:val="1F3864"/>
          <w:sz w:val="25"/>
          <w:szCs w:val="25"/>
        </w:rPr>
        <w:t xml:space="preserve">5. Limitaciones</w:t>
      </w:r>
    </w:p>
    <w:p>
      <w:pPr>
        <w:pStyle w:val="ListParagraph"/>
        <w:numPr>
          <w:ilvl w:val="0"/>
          <w:numId w:val="2"/>
        </w:numPr>
        <w:spacing w:after="60" w:line="264"/>
      </w:pPr>
      <w:r>
        <w:rPr>
          <w:rFonts w:ascii="Arial" w:cs="Arial" w:eastAsia="Arial" w:hAnsi="Arial"/>
          <w:sz w:val="21"/>
          <w:szCs w:val="21"/>
        </w:rPr>
        <w:t xml:space="preserve">Solo las edades 0 a 49 de la generación (años 1970-2019) son cifras reconstruidas por CONAPO; de los 50 a los 100 años (2020-2070) son proyecciones, y la e0 depende de ellas.</w:t>
      </w:r>
    </w:p>
    <w:p>
      <w:pPr>
        <w:pStyle w:val="ListParagraph"/>
        <w:numPr>
          <w:ilvl w:val="0"/>
          <w:numId w:val="2"/>
        </w:numPr>
        <w:spacing w:after="60" w:line="264"/>
      </w:pPr>
      <w:r>
        <w:rPr>
          <w:rFonts w:ascii="Arial" w:cs="Arial" w:eastAsia="Arial" w:hAnsi="Arial"/>
          <w:sz w:val="21"/>
          <w:szCs w:val="21"/>
        </w:rPr>
        <w:t xml:space="preserve">Defunciones y población son por edad y año calendario, no por generación exacta: a cada edad x se le asignan los datos del año 1970 + x. Es la aproximación habitual cuando no hay datos por cohorte.</w:t>
      </w:r>
    </w:p>
    <w:p>
      <w:pPr>
        <w:pStyle w:val="ListParagraph"/>
        <w:numPr>
          <w:ilvl w:val="0"/>
          <w:numId w:val="2"/>
        </w:numPr>
        <w:spacing w:after="60" w:line="264"/>
      </w:pPr>
      <w:r>
        <w:rPr>
          <w:rFonts w:ascii="Arial" w:cs="Arial" w:eastAsia="Arial" w:hAnsi="Arial"/>
          <w:sz w:val="21"/>
          <w:szCs w:val="21"/>
        </w:rPr>
        <w:t xml:space="preserve">CONAPO proyecta una mortalidad baja en edades muy avanzadas: 7.7 % de la generación llegaría a los 100 años. Con qx = 1 en el grupo abierto, e100 = 0.5 años, así que e0 queda ligeramente subestimada.</w:t>
      </w:r>
    </w:p>
    <w:p>
      <w:pPr>
        <w:pStyle w:val="ListParagraph"/>
        <w:numPr>
          <w:ilvl w:val="0"/>
          <w:numId w:val="2"/>
        </w:numPr>
        <w:spacing w:after="60" w:line="264"/>
      </w:pPr>
      <w:r>
        <w:rPr>
          <w:rFonts w:ascii="Arial" w:cs="Arial" w:eastAsia="Arial" w:hAnsi="Arial"/>
          <w:sz w:val="21"/>
          <w:szCs w:val="21"/>
        </w:rPr>
        <w:t xml:space="preserve">Los datos de CONAPO son estimaciones demográficas conciliadas, no registros administrativos directos.</w:t>
      </w:r>
    </w:p>
    <w:p>
      <w:pPr>
        <w:spacing w:before="120"/>
      </w:pPr>
      <w:r>
        <w:rPr>
          <w:rFonts w:ascii="Arial" w:cs="Arial" w:eastAsia="Arial" w:hAnsi="Arial"/>
          <w:sz w:val="21"/>
          <w:szCs w:val="21"/>
        </w:rPr>
        <w:t xml:space="preserve">Archivos: T_Mortalidad_CONAPO_Generacion_1970.xlsx (tabla de la plantilla y hojas con los datos usados), los gráficos en PNG y las bases originales en bases_de_datos_CONAPO/.</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fc1b719101494b82b3d8ad00c30ffd7740ec03e.png"/><Relationship Id="rId9" Type="http://schemas.openxmlformats.org/officeDocument/2006/relationships/image" Target="media/f17342bc297a1b86f749386eb786620a7875211c.png"/><Relationship Id="rId10" Type="http://schemas.openxmlformats.org/officeDocument/2006/relationships/image" Target="media/26527b732cf32f6b8bc7715b2e577a5e5d01cbd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Tabla de mortalidad de la generación mexicana de 1970 (CONAPO)</dc:title>
  <dc:creator>Tarea U2_P1</dc:creator>
  <cp:lastModifiedBy>Un-named</cp:lastModifiedBy>
  <cp:revision>1</cp:revision>
  <dcterms:created xsi:type="dcterms:W3CDTF">2026-10-07T16:13:56.207Z</dcterms:created>
  <dcterms:modified xsi:type="dcterms:W3CDTF">2026-10-07T16:13:56.207Z</dcterms:modified>
</cp:coreProperties>
</file>

<file path=docProps/custom.xml><?xml version="1.0" encoding="utf-8"?>
<Properties xmlns="http://schemas.openxmlformats.org/officeDocument/2006/custom-properties" xmlns:vt="http://schemas.openxmlformats.org/officeDocument/2006/docPropsVTypes"/>
</file>