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40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22" w:type="dxa"/>
          <w:bottom w:w="14" w:type="dxa"/>
          <w:right w:w="58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4680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79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nil"/>
                <w:insideV w:val="nil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079"/>
              <w:gridCol w:w="3495"/>
            </w:tblGrid>
            <w:tr>
              <w:trPr>
                <w:cantSplit w:val="false"/>
              </w:trPr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  <w:p>
                  <w:pPr>
                    <w:pStyle w:val="TextBody"/>
                    <w:spacing w:before="0" w:after="1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679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79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8"/>
          <w:szCs w:val="28"/>
        </w:rPr>
        <w:t xml:space="preserve">Se hur cleanjoy.se kan hjälpa dig sälja ditt hus utan krångel. </w:t>
      </w:r>
    </w:p>
    <w:p>
      <w:pPr>
        <w:pStyle w:val="TextBody"/>
        <w:rPr>
          <w:rFonts w:eastAsia="Arial" w:cs="Arial"/>
        </w:rPr>
      </w:pPr>
      <w:r>
        <w:rPr>
          <w:rFonts w:eastAsia="Arial" w:cs="Arial"/>
        </w:rPr>
        <w:t>Hej!</w:t>
      </w:r>
    </w:p>
    <w:p>
      <w:pPr>
        <w:pStyle w:val="Normal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Få ditt hem städat!</w:t>
      </w:r>
    </w:p>
    <w:p>
      <w:pPr>
        <w:pStyle w:val="Normal"/>
        <w:spacing w:lineRule="auto" w:line="276" w:before="0" w:after="0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Ring vår kundtjänst på {tell} så hjälper de dig med frågor angående bokningen och tjänsten. Eller gå till</w:t>
      </w:r>
      <w:r>
        <w:rPr>
          <w:rFonts w:eastAsia="Arial" w:cs="Arial"/>
          <w:b/>
          <w:bCs/>
          <w:color w:val="1C1C1C"/>
        </w:rPr>
        <w:t xml:space="preserve"> </w:t>
      </w:r>
      <w:r>
        <w:rPr>
          <w:rFonts w:eastAsia="Arial" w:cs="Arial"/>
          <w:b/>
          <w:bCs/>
          <w:color w:val="1C1C1C"/>
          <w:u w:val="single"/>
        </w:rPr>
        <w:t xml:space="preserve">cleanjoy.se/aktivera </w:t>
      </w:r>
      <w:r>
        <w:rPr>
          <w:rFonts w:eastAsia="Arial" w:cs="Arial"/>
          <w:color w:val="1C1C1C"/>
        </w:rPr>
        <w:t xml:space="preserve">för att boka din städning. 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fill="FFFFFF" w:val="clear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  <w:r>
        <w:rPr>
          <w:rFonts w:eastAsia="Arial" w:cs="Arial"/>
          <w:color w:val="1C1C1C"/>
        </w:rPr>
        <w:t>Erbjudandet med {value} kr rabatt på din bokning (ovan 2500 kr) går ut den {expiry}.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88" w:before="320" w:after="0"/>
      <w:contextualSpacing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88" w:before="320" w:after="0"/>
      <w:contextualSpacing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