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2331E" w14:textId="43133D72" w:rsidR="0030495E" w:rsidRPr="0030495E" w:rsidRDefault="0030495E" w:rsidP="0030495E">
      <w:pPr>
        <w:spacing w:line="360" w:lineRule="auto"/>
        <w:jc w:val="center"/>
        <w:rPr>
          <w:rFonts w:ascii="Palatino Linotype" w:hAnsi="Palatino Linotype"/>
          <w:sz w:val="28"/>
          <w:szCs w:val="28"/>
        </w:rPr>
      </w:pPr>
      <w:r w:rsidRPr="0030495E">
        <w:rPr>
          <w:rFonts w:ascii="Palatino Linotype" w:hAnsi="Palatino Linotype"/>
          <w:sz w:val="28"/>
          <w:szCs w:val="28"/>
        </w:rPr>
        <w:t>Exception Handling</w:t>
      </w:r>
    </w:p>
    <w:p w14:paraId="542903DF" w14:textId="75F49F7D" w:rsidR="0030495E" w:rsidRDefault="0030495E" w:rsidP="0030495E">
      <w:pPr>
        <w:spacing w:line="360" w:lineRule="auto"/>
        <w:jc w:val="center"/>
        <w:rPr>
          <w:rFonts w:ascii="Palatino Linotype" w:hAnsi="Palatino Linotype"/>
        </w:rPr>
      </w:pPr>
      <w:r>
        <w:rPr>
          <w:rFonts w:ascii="Palatino Linotype" w:hAnsi="Palatino Linotype"/>
        </w:rPr>
        <w:t xml:space="preserve">Sean </w:t>
      </w:r>
      <w:proofErr w:type="spellStart"/>
      <w:r>
        <w:rPr>
          <w:rFonts w:ascii="Palatino Linotype" w:hAnsi="Palatino Linotype"/>
        </w:rPr>
        <w:t>Parrott-Wolfe</w:t>
      </w:r>
      <w:proofErr w:type="spellEnd"/>
    </w:p>
    <w:p w14:paraId="449769B5" w14:textId="77777777" w:rsidR="0030495E" w:rsidRDefault="0030495E" w:rsidP="0030495E">
      <w:pPr>
        <w:spacing w:line="360" w:lineRule="auto"/>
        <w:jc w:val="center"/>
        <w:rPr>
          <w:rFonts w:ascii="Palatino Linotype" w:hAnsi="Palatino Linotype"/>
        </w:rPr>
      </w:pPr>
    </w:p>
    <w:p w14:paraId="6EB59583" w14:textId="14E9C60F" w:rsidR="00EB3D85" w:rsidRDefault="00037008" w:rsidP="00DC1190">
      <w:pPr>
        <w:spacing w:line="360" w:lineRule="auto"/>
        <w:ind w:firstLine="720"/>
        <w:rPr>
          <w:rFonts w:ascii="Palatino Linotype" w:hAnsi="Palatino Linotype" w:cs="Courier New"/>
        </w:rPr>
      </w:pPr>
      <w:r>
        <w:rPr>
          <w:rFonts w:ascii="Palatino Linotype" w:hAnsi="Palatino Linotype"/>
        </w:rPr>
        <w:t>Just as there are numerous types of exceptions in C#, t</w:t>
      </w:r>
      <w:r w:rsidR="009C6D7A" w:rsidRPr="009C6D7A">
        <w:rPr>
          <w:rFonts w:ascii="Palatino Linotype" w:hAnsi="Palatino Linotype"/>
        </w:rPr>
        <w:t xml:space="preserve">here are </w:t>
      </w:r>
      <w:r>
        <w:rPr>
          <w:rFonts w:ascii="Palatino Linotype" w:hAnsi="Palatino Linotype"/>
        </w:rPr>
        <w:t xml:space="preserve">also </w:t>
      </w:r>
      <w:r w:rsidR="009C6D7A" w:rsidRPr="009C6D7A">
        <w:rPr>
          <w:rFonts w:ascii="Palatino Linotype" w:hAnsi="Palatino Linotype"/>
        </w:rPr>
        <w:t xml:space="preserve">numerous methods of handling exceptions </w:t>
      </w:r>
      <w:r>
        <w:rPr>
          <w:rFonts w:ascii="Palatino Linotype" w:hAnsi="Palatino Linotype"/>
        </w:rPr>
        <w:t xml:space="preserve">these exceptions. The standard method for handling simple exceptions has historically been the use of </w:t>
      </w:r>
      <w:r w:rsidRPr="00E91E61">
        <w:rPr>
          <w:rFonts w:ascii="Courier New" w:hAnsi="Courier New" w:cs="Courier New"/>
          <w:color w:val="2F5496" w:themeColor="accent1" w:themeShade="BF"/>
        </w:rPr>
        <w:t>try-catch-finally</w:t>
      </w:r>
      <w:r>
        <w:rPr>
          <w:rFonts w:ascii="Courier New" w:hAnsi="Courier New" w:cs="Courier New"/>
        </w:rPr>
        <w:t xml:space="preserve"> </w:t>
      </w:r>
      <w:r>
        <w:rPr>
          <w:rFonts w:ascii="Palatino Linotype" w:hAnsi="Palatino Linotype" w:cs="Courier New"/>
        </w:rPr>
        <w:t xml:space="preserve">verbiage in order to keep one’s from application crashing. In such an instance, the program attempts to execute </w:t>
      </w:r>
      <w:r w:rsidR="00E91E61">
        <w:rPr>
          <w:rFonts w:ascii="Palatino Linotype" w:hAnsi="Palatino Linotype" w:cs="Courier New"/>
        </w:rPr>
        <w:t xml:space="preserve">the </w:t>
      </w:r>
      <w:r w:rsidR="00E91E61" w:rsidRPr="00E91E61">
        <w:rPr>
          <w:rFonts w:ascii="Courier New" w:hAnsi="Courier New" w:cs="Courier New"/>
          <w:color w:val="2F5496" w:themeColor="accent1" w:themeShade="BF"/>
        </w:rPr>
        <w:t>try</w:t>
      </w:r>
      <w:r w:rsidR="00E91E61">
        <w:rPr>
          <w:rFonts w:ascii="Palatino Linotype" w:hAnsi="Palatino Linotype" w:cs="Courier New"/>
        </w:rPr>
        <w:t xml:space="preserve"> block. If errors occur, code under the </w:t>
      </w:r>
      <w:r w:rsidR="00E91E61" w:rsidRPr="00E91E61">
        <w:rPr>
          <w:rFonts w:ascii="Courier New" w:hAnsi="Courier New" w:cs="Courier New"/>
        </w:rPr>
        <w:t>catch</w:t>
      </w:r>
      <w:r w:rsidR="00E91E61">
        <w:rPr>
          <w:rFonts w:ascii="Palatino Linotype" w:hAnsi="Palatino Linotype" w:cs="Courier New"/>
        </w:rPr>
        <w:t xml:space="preserve"> block is executed. The </w:t>
      </w:r>
      <w:r w:rsidR="00E91E61" w:rsidRPr="00E91E61">
        <w:rPr>
          <w:rFonts w:ascii="Courier New" w:hAnsi="Courier New" w:cs="Courier New"/>
          <w:color w:val="2F5496" w:themeColor="accent1" w:themeShade="BF"/>
        </w:rPr>
        <w:t>finally</w:t>
      </w:r>
      <w:r w:rsidR="00E91E61">
        <w:rPr>
          <w:rFonts w:ascii="Palatino Linotype" w:hAnsi="Palatino Linotype" w:cs="Courier New"/>
        </w:rPr>
        <w:t xml:space="preserve"> block allows for code to be executed regardless of the outcome of the tes</w:t>
      </w:r>
      <w:r w:rsidR="0007709C">
        <w:rPr>
          <w:rFonts w:ascii="Palatino Linotype" w:hAnsi="Palatino Linotype" w:cs="Courier New"/>
        </w:rPr>
        <w:t>t.</w:t>
      </w:r>
      <w:r w:rsidR="00E91E61">
        <w:rPr>
          <w:rFonts w:ascii="Palatino Linotype" w:hAnsi="Palatino Linotype" w:cs="Courier New"/>
        </w:rPr>
        <w:t xml:space="preserve"> For example:</w:t>
      </w:r>
    </w:p>
    <w:p w14:paraId="0F929A08" w14:textId="7944203C"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 xml:space="preserve">try </w:t>
      </w:r>
    </w:p>
    <w:p w14:paraId="769ADCC1" w14:textId="4636DD06"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w:t>
      </w:r>
    </w:p>
    <w:p w14:paraId="761EEFD2" w14:textId="1D94D0DD" w:rsidR="00DF228E"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ab/>
        <w:t xml:space="preserve">int num = </w:t>
      </w:r>
      <w:proofErr w:type="spellStart"/>
      <w:proofErr w:type="gramStart"/>
      <w:r>
        <w:rPr>
          <w:rFonts w:ascii="Courier New" w:hAnsi="Courier New" w:cs="Courier New"/>
          <w:color w:val="2F5496" w:themeColor="accent1" w:themeShade="BF"/>
        </w:rPr>
        <w:t>int.Parse</w:t>
      </w:r>
      <w:proofErr w:type="spellEnd"/>
      <w:proofErr w:type="gramEnd"/>
      <w:r w:rsidR="009311E3">
        <w:rPr>
          <w:rFonts w:ascii="Courier New" w:hAnsi="Courier New" w:cs="Courier New"/>
          <w:color w:val="2F5496" w:themeColor="accent1" w:themeShade="BF"/>
        </w:rPr>
        <w:t>(</w:t>
      </w:r>
      <w:proofErr w:type="spellStart"/>
      <w:r w:rsidR="009311E3">
        <w:rPr>
          <w:rFonts w:ascii="Courier New" w:hAnsi="Courier New" w:cs="Courier New"/>
          <w:color w:val="2F5496" w:themeColor="accent1" w:themeShade="BF"/>
        </w:rPr>
        <w:t>Console.Readline</w:t>
      </w:r>
      <w:proofErr w:type="spellEnd"/>
      <w:r w:rsidR="009311E3">
        <w:rPr>
          <w:rFonts w:ascii="Courier New" w:hAnsi="Courier New" w:cs="Courier New"/>
          <w:color w:val="2F5496" w:themeColor="accent1" w:themeShade="BF"/>
        </w:rPr>
        <w:t>());</w:t>
      </w:r>
    </w:p>
    <w:p w14:paraId="1378D822" w14:textId="3DCE714F"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w:t>
      </w:r>
    </w:p>
    <w:p w14:paraId="33DDBD64" w14:textId="65BAFED5"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catch</w:t>
      </w:r>
    </w:p>
    <w:p w14:paraId="39DBD566" w14:textId="44E1AA4A"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w:t>
      </w:r>
    </w:p>
    <w:p w14:paraId="204EA490" w14:textId="711D6222"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ab/>
      </w:r>
      <w:proofErr w:type="spellStart"/>
      <w:r w:rsidR="009311E3">
        <w:rPr>
          <w:rFonts w:ascii="Courier New" w:hAnsi="Courier New" w:cs="Courier New"/>
          <w:color w:val="2F5496" w:themeColor="accent1" w:themeShade="BF"/>
        </w:rPr>
        <w:t>MessageBox.Show</w:t>
      </w:r>
      <w:proofErr w:type="spellEnd"/>
      <w:r w:rsidR="009311E3">
        <w:rPr>
          <w:rFonts w:ascii="Courier New" w:hAnsi="Courier New" w:cs="Courier New"/>
          <w:color w:val="2F5496" w:themeColor="accent1" w:themeShade="BF"/>
        </w:rPr>
        <w:t>(“NOT an integer!”);</w:t>
      </w:r>
    </w:p>
    <w:p w14:paraId="7E7B0AE3" w14:textId="10B5E11C"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w:t>
      </w:r>
    </w:p>
    <w:p w14:paraId="2C89AEDD" w14:textId="04383A84" w:rsidR="00E91E61" w:rsidRDefault="00E91E61"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finally</w:t>
      </w:r>
    </w:p>
    <w:p w14:paraId="7C2979B8" w14:textId="12DC4F48" w:rsidR="009311E3" w:rsidRDefault="009311E3"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w:t>
      </w:r>
    </w:p>
    <w:p w14:paraId="28DA2C23" w14:textId="04A2F2C2" w:rsidR="009311E3" w:rsidRDefault="009311E3"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ab/>
      </w:r>
      <w:proofErr w:type="spellStart"/>
      <w:r>
        <w:rPr>
          <w:rFonts w:ascii="Courier New" w:hAnsi="Courier New" w:cs="Courier New"/>
          <w:color w:val="2F5496" w:themeColor="accent1" w:themeShade="BF"/>
        </w:rPr>
        <w:t>MessageBox.Show</w:t>
      </w:r>
      <w:proofErr w:type="spellEnd"/>
      <w:r>
        <w:rPr>
          <w:rFonts w:ascii="Courier New" w:hAnsi="Courier New" w:cs="Courier New"/>
          <w:color w:val="2F5496" w:themeColor="accent1" w:themeShade="BF"/>
        </w:rPr>
        <w:t>(“Goodbye.”);</w:t>
      </w:r>
    </w:p>
    <w:p w14:paraId="0011F29A" w14:textId="049DEDFC" w:rsidR="009311E3" w:rsidRDefault="009311E3" w:rsidP="00DC1190">
      <w:pPr>
        <w:spacing w:after="0" w:line="240" w:lineRule="auto"/>
        <w:ind w:left="720" w:firstLine="720"/>
        <w:rPr>
          <w:rFonts w:ascii="Courier New" w:hAnsi="Courier New" w:cs="Courier New"/>
          <w:color w:val="2F5496" w:themeColor="accent1" w:themeShade="BF"/>
        </w:rPr>
      </w:pPr>
      <w:r>
        <w:rPr>
          <w:rFonts w:ascii="Courier New" w:hAnsi="Courier New" w:cs="Courier New"/>
          <w:color w:val="2F5496" w:themeColor="accent1" w:themeShade="BF"/>
        </w:rPr>
        <w:t>}</w:t>
      </w:r>
    </w:p>
    <w:p w14:paraId="39BF9C9C" w14:textId="77777777" w:rsidR="00DC1190" w:rsidRPr="00E91E61" w:rsidRDefault="00DC1190" w:rsidP="00DC1190">
      <w:pPr>
        <w:spacing w:after="0" w:line="240" w:lineRule="auto"/>
        <w:ind w:left="720" w:firstLine="720"/>
        <w:rPr>
          <w:rFonts w:ascii="Courier New" w:hAnsi="Courier New" w:cs="Courier New"/>
          <w:color w:val="2F5496" w:themeColor="accent1" w:themeShade="BF"/>
        </w:rPr>
      </w:pPr>
    </w:p>
    <w:p w14:paraId="4DB3CC68" w14:textId="1B28A173" w:rsidR="00EB3D85" w:rsidRDefault="00A63683" w:rsidP="00DC1190">
      <w:pPr>
        <w:spacing w:line="360" w:lineRule="auto"/>
        <w:ind w:firstLine="720"/>
        <w:rPr>
          <w:rFonts w:ascii="Palatino Linotype" w:hAnsi="Palatino Linotype" w:cs="Courier New"/>
        </w:rPr>
      </w:pPr>
      <w:r>
        <w:rPr>
          <w:rFonts w:ascii="Palatino Linotype" w:hAnsi="Palatino Linotype" w:cs="Courier New"/>
        </w:rPr>
        <w:t>In the example, the code attempts to get an integer out of the user input. If a non-integer is entered, the catch block execute</w:t>
      </w:r>
      <w:r w:rsidR="0007709C">
        <w:rPr>
          <w:rFonts w:ascii="Palatino Linotype" w:hAnsi="Palatino Linotype" w:cs="Courier New"/>
        </w:rPr>
        <w:t>s, displaying the message. Regardless of whether or not an error is thrown, the “Goodbye.” message is displayed. This method of handling exceptions is useful when errors are to be logged, such as in backend environments.</w:t>
      </w:r>
    </w:p>
    <w:p w14:paraId="00C686B5" w14:textId="038F7000" w:rsidR="0007709C" w:rsidRDefault="0007709C" w:rsidP="00DC1190">
      <w:pPr>
        <w:spacing w:line="360" w:lineRule="auto"/>
        <w:ind w:firstLine="720"/>
        <w:rPr>
          <w:rFonts w:ascii="Palatino Linotype" w:hAnsi="Palatino Linotype" w:cs="Courier New"/>
        </w:rPr>
      </w:pPr>
      <w:r>
        <w:rPr>
          <w:rFonts w:ascii="Palatino Linotype" w:hAnsi="Palatino Linotype" w:cs="Courier New"/>
        </w:rPr>
        <w:t xml:space="preserve">The alternate method for parsing a string is </w:t>
      </w:r>
      <w:proofErr w:type="spellStart"/>
      <w:r w:rsidRPr="0007709C">
        <w:rPr>
          <w:rFonts w:ascii="Courier New" w:hAnsi="Courier New" w:cs="Courier New"/>
        </w:rPr>
        <w:t>TryParse</w:t>
      </w:r>
      <w:proofErr w:type="spellEnd"/>
      <w:r>
        <w:rPr>
          <w:rFonts w:ascii="Courier New" w:hAnsi="Courier New" w:cs="Courier New"/>
        </w:rPr>
        <w:t xml:space="preserve">. </w:t>
      </w:r>
      <w:r>
        <w:rPr>
          <w:rFonts w:ascii="Palatino Linotype" w:hAnsi="Palatino Linotype" w:cs="Courier New"/>
        </w:rPr>
        <w:t xml:space="preserve">In a </w:t>
      </w:r>
      <w:proofErr w:type="spellStart"/>
      <w:r w:rsidRPr="0007709C">
        <w:rPr>
          <w:rFonts w:ascii="Courier New" w:hAnsi="Courier New" w:cs="Courier New"/>
        </w:rPr>
        <w:t>TryParse</w:t>
      </w:r>
      <w:proofErr w:type="spellEnd"/>
      <w:r>
        <w:rPr>
          <w:rFonts w:ascii="Palatino Linotype" w:hAnsi="Palatino Linotype" w:cs="Courier New"/>
        </w:rPr>
        <w:t xml:space="preserve"> block, </w:t>
      </w:r>
      <w:r w:rsidR="00F86EA7">
        <w:rPr>
          <w:rFonts w:ascii="Palatino Linotype" w:hAnsi="Palatino Linotype" w:cs="Courier New"/>
        </w:rPr>
        <w:t xml:space="preserve">no catch is necessary, and if the parsing of the text string fails, the program does not throw an exception. For </w:t>
      </w:r>
      <w:r w:rsidR="009F431A">
        <w:rPr>
          <w:rFonts w:ascii="Palatino Linotype" w:hAnsi="Palatino Linotype" w:cs="Courier New"/>
        </w:rPr>
        <w:t>example:</w:t>
      </w:r>
    </w:p>
    <w:p w14:paraId="30C85C5C" w14:textId="4BEAE8DA" w:rsidR="009F431A" w:rsidRDefault="009F431A" w:rsidP="0030495E">
      <w:pPr>
        <w:spacing w:line="240" w:lineRule="auto"/>
        <w:ind w:left="1440"/>
        <w:rPr>
          <w:rFonts w:ascii="Courier New" w:hAnsi="Courier New" w:cs="Courier New"/>
          <w:color w:val="2F5496" w:themeColor="accent1" w:themeShade="BF"/>
        </w:rPr>
      </w:pPr>
      <w:proofErr w:type="gramStart"/>
      <w:r w:rsidRPr="0030495E">
        <w:rPr>
          <w:rFonts w:ascii="Courier New" w:hAnsi="Courier New" w:cs="Courier New"/>
          <w:color w:val="2F5496" w:themeColor="accent1" w:themeShade="BF"/>
        </w:rPr>
        <w:t>if(</w:t>
      </w:r>
      <w:proofErr w:type="spellStart"/>
      <w:proofErr w:type="gramEnd"/>
      <w:r w:rsidRPr="0030495E">
        <w:rPr>
          <w:rFonts w:ascii="Courier New" w:hAnsi="Courier New" w:cs="Courier New"/>
          <w:color w:val="2F5496" w:themeColor="accent1" w:themeShade="BF"/>
        </w:rPr>
        <w:t>int.TryParse</w:t>
      </w:r>
      <w:proofErr w:type="spellEnd"/>
      <w:r w:rsidRPr="0030495E">
        <w:rPr>
          <w:rFonts w:ascii="Courier New" w:hAnsi="Courier New" w:cs="Courier New"/>
          <w:color w:val="2F5496" w:themeColor="accent1" w:themeShade="BF"/>
        </w:rPr>
        <w:t>(</w:t>
      </w:r>
      <w:proofErr w:type="spellStart"/>
      <w:r w:rsidR="0030495E">
        <w:rPr>
          <w:rFonts w:ascii="Courier New" w:hAnsi="Courier New" w:cs="Courier New"/>
          <w:color w:val="2F5496" w:themeColor="accent1" w:themeShade="BF"/>
        </w:rPr>
        <w:t>num</w:t>
      </w:r>
      <w:r w:rsidRPr="0030495E">
        <w:rPr>
          <w:rFonts w:ascii="Courier New" w:hAnsi="Courier New" w:cs="Courier New"/>
          <w:color w:val="2F5496" w:themeColor="accent1" w:themeShade="BF"/>
        </w:rPr>
        <w:t>.Text,out</w:t>
      </w:r>
      <w:proofErr w:type="spellEnd"/>
      <w:r w:rsidRPr="0030495E">
        <w:rPr>
          <w:rFonts w:ascii="Courier New" w:hAnsi="Courier New" w:cs="Courier New"/>
          <w:color w:val="2F5496" w:themeColor="accent1" w:themeShade="BF"/>
        </w:rPr>
        <w:t xml:space="preserve"> </w:t>
      </w:r>
      <w:r w:rsidR="0030495E">
        <w:rPr>
          <w:rFonts w:ascii="Courier New" w:hAnsi="Courier New" w:cs="Courier New"/>
          <w:color w:val="2F5496" w:themeColor="accent1" w:themeShade="BF"/>
        </w:rPr>
        <w:t>result</w:t>
      </w:r>
      <w:r w:rsidRPr="0030495E">
        <w:rPr>
          <w:rFonts w:ascii="Courier New" w:hAnsi="Courier New" w:cs="Courier New"/>
          <w:color w:val="2F5496" w:themeColor="accent1" w:themeShade="BF"/>
        </w:rPr>
        <w:t>))</w:t>
      </w:r>
    </w:p>
    <w:p w14:paraId="0DF3C685" w14:textId="09EE0DE6" w:rsid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t>{</w:t>
      </w:r>
    </w:p>
    <w:p w14:paraId="5F9B0322" w14:textId="0C97F4E5" w:rsid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tab/>
      </w:r>
      <w:proofErr w:type="spellStart"/>
      <w:proofErr w:type="gramStart"/>
      <w:r>
        <w:rPr>
          <w:rFonts w:ascii="Courier New" w:hAnsi="Courier New" w:cs="Courier New"/>
          <w:color w:val="2F5496" w:themeColor="accent1" w:themeShade="BF"/>
        </w:rPr>
        <w:t>MessageBox</w:t>
      </w:r>
      <w:proofErr w:type="spellEnd"/>
      <w:r>
        <w:rPr>
          <w:rFonts w:ascii="Courier New" w:hAnsi="Courier New" w:cs="Courier New"/>
          <w:color w:val="2F5496" w:themeColor="accent1" w:themeShade="BF"/>
        </w:rPr>
        <w:t>(</w:t>
      </w:r>
      <w:proofErr w:type="gramEnd"/>
      <w:r>
        <w:rPr>
          <w:rFonts w:ascii="Courier New" w:hAnsi="Courier New" w:cs="Courier New"/>
          <w:color w:val="2F5496" w:themeColor="accent1" w:themeShade="BF"/>
        </w:rPr>
        <w:t>“Your number is ” + result);</w:t>
      </w:r>
    </w:p>
    <w:p w14:paraId="72772C74" w14:textId="2510DB10" w:rsid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t>}</w:t>
      </w:r>
    </w:p>
    <w:p w14:paraId="12B0B601" w14:textId="284A85EC" w:rsid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lastRenderedPageBreak/>
        <w:t>else</w:t>
      </w:r>
    </w:p>
    <w:p w14:paraId="6A16F3BC" w14:textId="0E7B2F51" w:rsid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t>{</w:t>
      </w:r>
    </w:p>
    <w:p w14:paraId="26D2E51C" w14:textId="5035940B" w:rsid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tab/>
      </w:r>
      <w:proofErr w:type="spellStart"/>
      <w:r>
        <w:rPr>
          <w:rFonts w:ascii="Courier New" w:hAnsi="Courier New" w:cs="Courier New"/>
          <w:color w:val="2F5496" w:themeColor="accent1" w:themeShade="BF"/>
        </w:rPr>
        <w:t>MessageBox.Show</w:t>
      </w:r>
      <w:proofErr w:type="spellEnd"/>
      <w:r>
        <w:rPr>
          <w:rFonts w:ascii="Courier New" w:hAnsi="Courier New" w:cs="Courier New"/>
          <w:color w:val="2F5496" w:themeColor="accent1" w:themeShade="BF"/>
        </w:rPr>
        <w:t>(“NOT an integer!”);</w:t>
      </w:r>
    </w:p>
    <w:p w14:paraId="5126A715" w14:textId="09DE5110" w:rsidR="0030495E" w:rsidRPr="0030495E" w:rsidRDefault="0030495E" w:rsidP="0030495E">
      <w:pPr>
        <w:spacing w:line="240" w:lineRule="auto"/>
        <w:ind w:left="1440"/>
        <w:rPr>
          <w:rFonts w:ascii="Courier New" w:hAnsi="Courier New" w:cs="Courier New"/>
          <w:color w:val="2F5496" w:themeColor="accent1" w:themeShade="BF"/>
        </w:rPr>
      </w:pPr>
      <w:r>
        <w:rPr>
          <w:rFonts w:ascii="Courier New" w:hAnsi="Courier New" w:cs="Courier New"/>
          <w:color w:val="2F5496" w:themeColor="accent1" w:themeShade="BF"/>
        </w:rPr>
        <w:t>}</w:t>
      </w:r>
    </w:p>
    <w:p w14:paraId="42AA5D6A" w14:textId="6D1C3C79" w:rsidR="0030495E" w:rsidRDefault="0030495E" w:rsidP="0030495E">
      <w:pPr>
        <w:spacing w:line="480" w:lineRule="auto"/>
        <w:ind w:firstLine="720"/>
        <w:rPr>
          <w:rFonts w:ascii="Palatino Linotype" w:hAnsi="Palatino Linotype" w:cs="Courier New"/>
        </w:rPr>
      </w:pPr>
      <w:r w:rsidRPr="0030495E">
        <w:rPr>
          <w:rFonts w:ascii="Palatino Linotype" w:hAnsi="Palatino Linotype" w:cs="Courier New"/>
        </w:rPr>
        <w:t>I</w:t>
      </w:r>
      <w:r>
        <w:rPr>
          <w:rFonts w:ascii="Palatino Linotype" w:hAnsi="Palatino Linotype" w:cs="Courier New"/>
        </w:rPr>
        <w:t>n this example, no exception actually occurs, as the failure is an expected possibility. If speed is the goal, or if details about the error are unwanted, this is the preferred method of handling exceptions.</w:t>
      </w:r>
    </w:p>
    <w:p w14:paraId="115C592F" w14:textId="73030D95" w:rsidR="0030495E" w:rsidRDefault="0030495E" w:rsidP="0030495E">
      <w:pPr>
        <w:rPr>
          <w:rFonts w:ascii="Palatino Linotype" w:hAnsi="Palatino Linotype" w:cs="Courier New"/>
        </w:rPr>
      </w:pPr>
    </w:p>
    <w:p w14:paraId="572CF667" w14:textId="72F5AF32" w:rsidR="0030495E" w:rsidRDefault="0030495E" w:rsidP="0030495E">
      <w:pPr>
        <w:rPr>
          <w:rFonts w:ascii="Palatino Linotype" w:hAnsi="Palatino Linotype" w:cs="Courier New"/>
        </w:rPr>
      </w:pPr>
    </w:p>
    <w:p w14:paraId="564F12F0" w14:textId="3296721B" w:rsidR="0030495E" w:rsidRDefault="0030495E" w:rsidP="0030495E">
      <w:pPr>
        <w:jc w:val="center"/>
        <w:rPr>
          <w:rFonts w:ascii="Palatino Linotype" w:hAnsi="Palatino Linotype" w:cs="Courier New"/>
        </w:rPr>
      </w:pPr>
    </w:p>
    <w:p w14:paraId="50A44562" w14:textId="490696B2" w:rsidR="0030495E" w:rsidRDefault="0030495E" w:rsidP="0030495E">
      <w:pPr>
        <w:jc w:val="center"/>
        <w:rPr>
          <w:rFonts w:ascii="Palatino Linotype" w:hAnsi="Palatino Linotype" w:cs="Courier New"/>
        </w:rPr>
      </w:pPr>
    </w:p>
    <w:p w14:paraId="1CCFF931" w14:textId="71978E10" w:rsidR="0030495E" w:rsidRDefault="0030495E" w:rsidP="0030495E">
      <w:pPr>
        <w:jc w:val="center"/>
        <w:rPr>
          <w:rFonts w:ascii="Palatino Linotype" w:hAnsi="Palatino Linotype" w:cs="Courier New"/>
        </w:rPr>
      </w:pPr>
    </w:p>
    <w:p w14:paraId="5E31DDAB" w14:textId="3A11CBA7" w:rsidR="0030495E" w:rsidRDefault="0030495E" w:rsidP="0030495E">
      <w:pPr>
        <w:jc w:val="center"/>
        <w:rPr>
          <w:rFonts w:ascii="Palatino Linotype" w:hAnsi="Palatino Linotype" w:cs="Courier New"/>
        </w:rPr>
      </w:pPr>
    </w:p>
    <w:p w14:paraId="57BE9A09" w14:textId="46283957" w:rsidR="0030495E" w:rsidRDefault="0030495E" w:rsidP="0030495E">
      <w:pPr>
        <w:jc w:val="center"/>
        <w:rPr>
          <w:rFonts w:ascii="Palatino Linotype" w:hAnsi="Palatino Linotype" w:cs="Courier New"/>
        </w:rPr>
      </w:pPr>
    </w:p>
    <w:p w14:paraId="102C91EE" w14:textId="18E70A57" w:rsidR="0030495E" w:rsidRDefault="0030495E" w:rsidP="0030495E">
      <w:pPr>
        <w:jc w:val="center"/>
        <w:rPr>
          <w:rFonts w:ascii="Palatino Linotype" w:hAnsi="Palatino Linotype" w:cs="Courier New"/>
        </w:rPr>
      </w:pPr>
    </w:p>
    <w:p w14:paraId="72846BE4" w14:textId="7103E609" w:rsidR="0030495E" w:rsidRPr="0030495E" w:rsidRDefault="0030495E" w:rsidP="0030495E">
      <w:pPr>
        <w:jc w:val="center"/>
        <w:rPr>
          <w:rFonts w:ascii="Palatino Linotype" w:hAnsi="Palatino Linotype" w:cs="Courier New"/>
          <w:u w:val="single"/>
        </w:rPr>
      </w:pPr>
      <w:r w:rsidRPr="0030495E">
        <w:rPr>
          <w:rFonts w:ascii="Palatino Linotype" w:hAnsi="Palatino Linotype" w:cs="Courier New"/>
          <w:u w:val="single"/>
        </w:rPr>
        <w:t>Sources:</w:t>
      </w:r>
    </w:p>
    <w:p w14:paraId="3D9CE393" w14:textId="09487A77" w:rsidR="0030495E" w:rsidRDefault="0030495E" w:rsidP="0030495E">
      <w:hyperlink r:id="rId4" w:history="1">
        <w:r>
          <w:rPr>
            <w:rStyle w:val="Hyperlink"/>
          </w:rPr>
          <w:t>https://docs.microsoft.com/en-us/dotnet/csharp/programming-guide/exceptions/exception-handling</w:t>
        </w:r>
      </w:hyperlink>
    </w:p>
    <w:p w14:paraId="3C8ECBFC" w14:textId="1FD9723C" w:rsidR="0030495E" w:rsidRDefault="007A2B67" w:rsidP="0030495E">
      <w:hyperlink r:id="rId5" w:history="1">
        <w:r>
          <w:rPr>
            <w:rStyle w:val="Hyperlink"/>
          </w:rPr>
          <w:t>https://docs.microsoft.com/en-us/dotnet/csharp/programming-guide/exceptions/</w:t>
        </w:r>
      </w:hyperlink>
    </w:p>
    <w:p w14:paraId="74002FBA" w14:textId="01C3F8D4" w:rsidR="007A2B67" w:rsidRPr="0030495E" w:rsidRDefault="007A2B67" w:rsidP="0030495E">
      <w:pPr>
        <w:rPr>
          <w:rFonts w:ascii="Palatino Linotype" w:hAnsi="Palatino Linotype" w:cs="Courier New"/>
        </w:rPr>
      </w:pPr>
      <w:hyperlink r:id="rId6" w:history="1">
        <w:r>
          <w:rPr>
            <w:rStyle w:val="Hyperlink"/>
          </w:rPr>
          <w:t>https://www.w3schools.com/cs/cs_exceptions.asp</w:t>
        </w:r>
      </w:hyperlink>
      <w:bookmarkStart w:id="0" w:name="_GoBack"/>
      <w:bookmarkEnd w:id="0"/>
    </w:p>
    <w:sectPr w:rsidR="007A2B67" w:rsidRPr="0030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04"/>
    <w:rsid w:val="00037008"/>
    <w:rsid w:val="0007709C"/>
    <w:rsid w:val="0030495E"/>
    <w:rsid w:val="004F1304"/>
    <w:rsid w:val="00783A88"/>
    <w:rsid w:val="007A2B67"/>
    <w:rsid w:val="009311E3"/>
    <w:rsid w:val="009C6D7A"/>
    <w:rsid w:val="009F431A"/>
    <w:rsid w:val="00A63683"/>
    <w:rsid w:val="00DC1190"/>
    <w:rsid w:val="00DF228E"/>
    <w:rsid w:val="00E03EBE"/>
    <w:rsid w:val="00E91E61"/>
    <w:rsid w:val="00EB3D85"/>
    <w:rsid w:val="00F553F2"/>
    <w:rsid w:val="00F86EA7"/>
    <w:rsid w:val="00FC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003E"/>
  <w15:chartTrackingRefBased/>
  <w15:docId w15:val="{F55C3CFB-5DFA-47A6-903F-030F2B49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4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cs_exceptions.asp" TargetMode="External"/><Relationship Id="rId5" Type="http://schemas.openxmlformats.org/officeDocument/2006/relationships/hyperlink" Target="https://docs.microsoft.com/en-us/dotnet/csharp/programming-guide/exceptions/" TargetMode="External"/><Relationship Id="rId4" Type="http://schemas.openxmlformats.org/officeDocument/2006/relationships/hyperlink" Target="https://docs.microsoft.com/en-us/dotnet/csharp/programming-guide/exceptions/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PARROTT-WOLFE</dc:creator>
  <cp:keywords/>
  <dc:description/>
  <cp:lastModifiedBy>SEAN PARROTT-WOLFE</cp:lastModifiedBy>
  <cp:revision>4</cp:revision>
  <dcterms:created xsi:type="dcterms:W3CDTF">2020-05-24T15:00:00Z</dcterms:created>
  <dcterms:modified xsi:type="dcterms:W3CDTF">2020-05-25T02:48:00Z</dcterms:modified>
</cp:coreProperties>
</file>