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rPr>
          <w:b/>
          <w:sz w:val="32"/>
        </w:rPr>
      </w:pPr>
      <w:r>
        <w:rPr>
          <w:b/>
          <w:sz w:val="32"/>
        </w:rPr>
        <w:t>Executive Summary: Expense Classification using NLP</w:t>
      </w:r>
    </w:p>
    <w:p>
      <w:pPr>
        <w:rPr>
          <w:sz w:val="22"/>
        </w:rPr>
      </w:pPr>
    </w:p>
    <w:p>
      <w:pPr>
        <w:pStyle w:val="Heading2"/>
        <w:rPr>
          <w:b/>
          <w:sz w:val="28"/>
        </w:rPr>
      </w:pPr>
      <w:r>
        <w:rPr>
          <w:b/>
          <w:sz w:val="28"/>
        </w:rPr>
        <w:t>1. Data Overview and EDA Findings</w:t>
      </w:r>
    </w:p>
    <w:p>
      <w:pPr>
        <w:rPr>
          <w:sz w:val="22"/>
        </w:rPr>
      </w:pPr>
      <w:r>
        <w:rPr>
          <w:sz w:val="22"/>
        </w:rPr>
        <w:t xml:space="preserve">The dataset contains 268 expense entries from FY23 with columns: Year, Debit, Credit, Net, and Remarks. All Credit values are zero, making Net equal to Debit. The Remarks column contains free-text descriptions of expenses that form the basis for our NLP classification task.</w:t>
      </w:r>
    </w:p>
    <w:p>
      <w:pPr>
        <w:rPr>
          <w:sz w:val="22"/>
        </w:rPr>
      </w:pPr>
    </w:p>
    <w:p>
      <w:pPr>
        <w:rPr>
          <w:b/>
          <w:sz w:val="22"/>
        </w:rPr>
      </w:pPr>
      <w:r>
        <w:rPr>
          <w:b/>
          <w:sz w:val="22"/>
        </w:rPr>
        <w:t xml:space="preserve">Key EDA findings:</w:t>
      </w:r>
    </w:p>
    <w:p>
      <w:pPr>
        <w:rPr>
          <w:sz w:val="22"/>
        </w:rPr>
      </w:pPr>
      <w:r>
        <w:rPr>
          <w:sz w:val="22"/>
        </w:rPr>
        <w:t xml:space="preserve">- Debit amounts range from INR 300 to INR 12.7 million with high variance</w:t>
      </w:r>
    </w:p>
    <w:p>
      <w:pPr>
        <w:rPr>
          <w:sz w:val="22"/>
        </w:rPr>
      </w:pPr>
      <w:r>
        <w:rPr>
          <w:sz w:val="22"/>
        </w:rPr>
        <w:t xml:space="preserve">- Remarks text length varies from 5 to 200+ characters</w:t>
      </w:r>
    </w:p>
    <w:p>
      <w:pPr>
        <w:rPr>
          <w:sz w:val="22"/>
        </w:rPr>
      </w:pPr>
      <w:r>
        <w:rPr>
          <w:sz w:val="22"/>
        </w:rPr>
        <w:t xml:space="preserve">- Domain-specific vocabulary clearly differentiates expense categories</w:t>
      </w:r>
    </w:p>
    <w:p>
      <w:pPr>
        <w:rPr>
          <w:sz w:val="22"/>
        </w:rPr>
      </w:pPr>
      <w:r>
        <w:rPr>
          <w:sz w:val="22"/>
        </w:rPr>
        <w:t xml:space="preserve">- No explicit category labels exist; we created labels using domain knowledge rules</w:t>
      </w:r>
    </w:p>
    <w:p>
      <w:pPr>
        <w:rPr>
          <w:sz w:val="22"/>
        </w:rPr>
      </w:pPr>
      <w:r>
        <w:rPr>
          <w:sz w:val="22"/>
        </w:rPr>
        <w:t xml:space="preserve">- The dataset is imbalanced: Equipment (~56%), Services (~27%), Material (~17%)</w:t>
      </w:r>
    </w:p>
    <w:p>
      <w:pPr>
        <w:rPr>
          <w:sz w:val="22"/>
        </w:rPr>
      </w:pPr>
    </w:p>
    <w:p>
      <w:pPr>
        <w:pStyle w:val="Heading2"/>
        <w:rPr>
          <w:b/>
          <w:sz w:val="28"/>
        </w:rPr>
      </w:pPr>
      <w:r>
        <w:rPr>
          <w:b/>
          <w:sz w:val="28"/>
        </w:rPr>
        <w:t>2. Data Cleaning</w:t>
      </w:r>
    </w:p>
    <w:p>
      <w:pPr>
        <w:rPr>
          <w:sz w:val="22"/>
        </w:rPr>
      </w:pPr>
      <w:r>
        <w:rPr>
          <w:sz w:val="22"/>
        </w:rPr>
        <w:t xml:space="preserve">Steps performed: (1) Removed 1 empty row with no remarks text. (2) Converted numeric columns to proper types. (3) Preprocessed text by removing asset ID numbers, dates, PO numbers, and special characters. (4) Standardized text to lowercase for consistent feature extraction. These steps ensure the model focuses on meaningful textual content rather than noise from formatting inconsistencies.</w:t>
      </w:r>
    </w:p>
    <w:p>
      <w:pPr>
        <w:rPr>
          <w:sz w:val="22"/>
        </w:rPr>
      </w:pPr>
    </w:p>
    <w:p>
      <w:pPr>
        <w:pStyle w:val="Heading2"/>
        <w:rPr>
          <w:b/>
          <w:sz w:val="28"/>
        </w:rPr>
      </w:pPr>
      <w:r>
        <w:rPr>
          <w:b/>
          <w:sz w:val="28"/>
        </w:rPr>
        <w:t>3. Classification Approach Comparison</w:t>
      </w:r>
    </w:p>
    <w:p>
      <w:pPr>
        <w:rPr>
          <w:b/>
          <w:sz w:val="22"/>
        </w:rPr>
      </w:pPr>
      <w:r>
        <w:rPr>
          <w:b/>
          <w:sz w:val="22"/>
        </w:rPr>
        <w:t xml:space="preserve">Approach 1: TF-IDF + Classical ML (Chosen)</w:t>
      </w:r>
    </w:p>
    <w:p>
      <w:pPr>
        <w:rPr>
          <w:sz w:val="22"/>
        </w:rPr>
      </w:pPr>
      <w:r>
        <w:rPr>
          <w:sz w:val="22"/>
        </w:rPr>
        <w:t xml:space="preserve">Converts text to TF-IDF feature vectors capturing word/bigram importance, then trains classical classifiers (Logistic Regression, Random Forest, XGBoost, LightGBM, Extra Trees).</w:t>
      </w:r>
    </w:p>
    <w:p>
      <w:pPr>
        <w:rPr>
          <w:sz w:val="22"/>
        </w:rPr>
      </w:pPr>
      <w:r>
        <w:rPr>
          <w:sz w:val="22"/>
        </w:rPr>
        <w:t xml:space="preserve">Advantages: Fast training, interpretable features, robust with small datasets (~268 samples), no GPU required, handles domain-specific vocabulary well through TF-IDF weighting.</w:t>
      </w:r>
    </w:p>
    <w:p>
      <w:pPr>
        <w:rPr>
          <w:sz w:val="22"/>
        </w:rPr>
      </w:pPr>
      <w:r>
        <w:rPr>
          <w:sz w:val="22"/>
        </w:rPr>
        <w:t xml:space="preserve">Disadvantages: Cannot capture deep semantic relationships, limited to surface-level word patterns, requires manual feature engineering for optimal performance.</w:t>
      </w:r>
    </w:p>
    <w:p>
      <w:pPr>
        <w:rPr>
          <w:sz w:val="22"/>
        </w:rPr>
      </w:pPr>
    </w:p>
    <w:p>
      <w:pPr>
        <w:rPr>
          <w:b/>
          <w:sz w:val="22"/>
        </w:rPr>
      </w:pPr>
      <w:r>
        <w:rPr>
          <w:b/>
          <w:sz w:val="22"/>
        </w:rPr>
        <w:t xml:space="preserve">Approach 2: Transformer-based (BERT/DistilBERT)</w:t>
      </w:r>
    </w:p>
    <w:p>
      <w:pPr>
        <w:rPr>
          <w:sz w:val="22"/>
        </w:rPr>
      </w:pPr>
      <w:r>
        <w:rPr>
          <w:sz w:val="22"/>
        </w:rPr>
        <w:t xml:space="preserve">Fine-tunes a pre-trained language model on the classification task, leveraging contextual embeddings learned from large corpora.</w:t>
      </w:r>
    </w:p>
    <w:p>
      <w:pPr>
        <w:rPr>
          <w:sz w:val="22"/>
        </w:rPr>
      </w:pPr>
      <w:r>
        <w:rPr>
          <w:sz w:val="22"/>
        </w:rPr>
        <w:t xml:space="preserve">Advantages: Captures semantic meaning and context, handles synonyms and paraphrases, state-of-the-art NLP performance on large datasets.</w:t>
      </w:r>
    </w:p>
    <w:p>
      <w:pPr>
        <w:rPr>
          <w:sz w:val="22"/>
        </w:rPr>
      </w:pPr>
      <w:r>
        <w:rPr>
          <w:sz w:val="22"/>
        </w:rPr>
        <w:t xml:space="preserve">Disadvantages: Requires GPU infrastructure, prone to severe overfitting with only 268 samples, slow training, computationally expensive, difficult to interpret predictions.</w:t>
      </w:r>
    </w:p>
    <w:p>
      <w:pPr>
        <w:rPr>
          <w:sz w:val="22"/>
        </w:rPr>
      </w:pPr>
    </w:p>
    <w:p>
      <w:pPr>
        <w:rPr>
          <w:sz w:val="22"/>
        </w:rPr>
      </w:pPr>
      <w:r>
        <w:rPr>
          <w:sz w:val="22"/>
        </w:rPr>
        <w:t xml:space="preserve">Rationale for Approach 1: With only 268 samples, transformer models would overfit catastrophically. The expense remarks contain strong keyword signals (e.g., 'consultancy' for Services, 'camera' for Equipment, 'pipe' for Material) that TF-IDF captures effectively. Classical ML with proper hyperparameter tuning provides the best balance of performance and generalization for this dataset size.</w:t>
      </w:r>
    </w:p>
    <w:p>
      <w:pPr>
        <w:rPr>
          <w:sz w:val="22"/>
        </w:rPr>
      </w:pPr>
    </w:p>
    <w:p>
      <w:pPr>
        <w:pStyle w:val="Heading2"/>
        <w:rPr>
          <w:b/>
          <w:sz w:val="28"/>
        </w:rPr>
      </w:pPr>
      <w:r>
        <w:rPr>
          <w:b/>
          <w:sz w:val="28"/>
        </w:rPr>
        <w:t>4. Implementation and Results</w:t>
      </w:r>
    </w:p>
    <w:p>
      <w:pPr>
        <w:rPr>
          <w:sz w:val="22"/>
        </w:rPr>
      </w:pPr>
      <w:r>
        <w:rPr>
          <w:sz w:val="22"/>
        </w:rPr>
        <w:t xml:space="preserve">Five models were trained with Optuna hyperparameter optimization (30 trials each) and 5-fold stratified cross-validation. Features: TF-IDF vectors (500 features, unigrams+bigrams) combined with numeric features (Debit amount, text length, word count).</w:t>
      </w:r>
    </w:p>
    <w:p>
      <w:pPr>
        <w:rPr>
          <w:sz w:val="22"/>
        </w:rPr>
      </w:pPr>
    </w:p>
    <w:p>
      <w:pPr>
        <w:rPr>
          <w:b/>
          <w:sz w:val="22"/>
        </w:rPr>
      </w:pPr>
      <w:r>
        <w:rPr>
          <w:b/>
          <w:sz w:val="22"/>
        </w:rPr>
        <w:t xml:space="preserve">Model Performance Summary:</w:t>
      </w:r>
    </w:p>
    <w:p>
      <w:pPr>
        <w:rPr>
          <w:sz w:val="22"/>
        </w:rPr>
      </w:pPr>
      <w:r>
        <w:rPr>
          <w:sz w:val="22"/>
        </w:rPr>
        <w:t xml:space="preserve">- Logistic Regression: Strong baseline with interpretable coefficients</w:t>
      </w:r>
    </w:p>
    <w:p>
      <w:pPr>
        <w:rPr>
          <w:sz w:val="22"/>
        </w:rPr>
      </w:pPr>
      <w:r>
        <w:rPr>
          <w:sz w:val="22"/>
        </w:rPr>
        <w:t xml:space="preserve">- Random Forest: Robust ensemble performance with feature importance</w:t>
      </w:r>
    </w:p>
    <w:p>
      <w:pPr>
        <w:rPr>
          <w:sz w:val="22"/>
        </w:rPr>
      </w:pPr>
      <w:r>
        <w:rPr>
          <w:sz w:val="22"/>
        </w:rPr>
        <w:t xml:space="preserve">- XGBoost: Competitive gradient boosting performance</w:t>
      </w:r>
    </w:p>
    <w:p>
      <w:pPr>
        <w:rPr>
          <w:sz w:val="22"/>
        </w:rPr>
      </w:pPr>
      <w:r>
        <w:rPr>
          <w:sz w:val="22"/>
        </w:rPr>
        <w:t xml:space="preserve">- LightGBM: Fast training with good generalization</w:t>
      </w:r>
    </w:p>
    <w:p>
      <w:pPr>
        <w:rPr>
          <w:sz w:val="22"/>
        </w:rPr>
      </w:pPr>
      <w:r>
        <w:rPr>
          <w:sz w:val="22"/>
        </w:rPr>
        <w:t xml:space="preserve">- Extra Trees: Additional randomization helps with small data</w:t>
      </w:r>
    </w:p>
    <w:p>
      <w:pPr>
        <w:rPr>
          <w:sz w:val="22"/>
        </w:rPr>
      </w:pPr>
    </w:p>
    <w:p>
      <w:pPr>
        <w:pStyle w:val="Heading2"/>
        <w:rPr>
          <w:b/>
          <w:sz w:val="28"/>
        </w:rPr>
      </w:pPr>
      <w:r>
        <w:rPr>
          <w:b/>
          <w:sz w:val="28"/>
        </w:rPr>
        <w:t>5. Evaluation Metrics</w:t>
      </w:r>
    </w:p>
    <w:p>
      <w:pPr>
        <w:rPr>
          <w:b/>
          <w:sz w:val="22"/>
        </w:rPr>
      </w:pPr>
      <w:r>
        <w:rPr>
          <w:b/>
          <w:sz w:val="22"/>
        </w:rPr>
        <w:t xml:space="preserve">Primary metrics chosen:</w:t>
      </w:r>
    </w:p>
    <w:p>
      <w:pPr>
        <w:rPr>
          <w:sz w:val="22"/>
        </w:rPr>
      </w:pPr>
      <w:r>
        <w:rPr>
          <w:sz w:val="22"/>
        </w:rPr>
        <w:t xml:space="preserve">1. Macro F1-Score: Treats all classes equally, ensuring good performance on the minority Material class. Critical because misclassifying Material as Equipment has real business impact in procurement tracking.</w:t>
      </w:r>
    </w:p>
    <w:p>
      <w:pPr>
        <w:rPr>
          <w:sz w:val="22"/>
        </w:rPr>
      </w:pPr>
      <w:r>
        <w:rPr>
          <w:sz w:val="22"/>
        </w:rPr>
        <w:t xml:space="preserve">2. Weighted F1-Score: Weights by class proportion, providing realistic overall performance assessment that accounts for the natural class distribution in production data.</w:t>
      </w:r>
    </w:p>
    <w:p>
      <w:pPr>
        <w:rPr>
          <w:sz w:val="22"/>
        </w:rPr>
      </w:pPr>
    </w:p>
    <w:p>
      <w:pPr>
        <w:rPr>
          <w:sz w:val="22"/>
        </w:rPr>
      </w:pPr>
      <w:r>
        <w:rPr>
          <w:sz w:val="22"/>
        </w:rPr>
        <w:t xml:space="preserve">The models achieve strong classification performance, demonstrating that TF-IDF features effectively capture the discriminative patterns in expense descriptions. The most important features are domain-specific terms: 'services', 'commissioning', 'consultancy' for Services; 'camera', 'dispenser', 'chair' for Equipment; 'pipe', 'cable', 'insulation' for Material.</w:t>
      </w:r>
    </w:p>
    <w:p>
      <w:pPr>
        <w:rPr>
          <w:sz w:val="22"/>
        </w:rPr>
      </w:pPr>
    </w:p>
    <w:p>
      <w:pPr>
        <w:pStyle w:val="Heading2"/>
        <w:rPr>
          <w:b/>
          <w:sz w:val="28"/>
        </w:rPr>
      </w:pPr>
      <w:r>
        <w:rPr>
          <w:b/>
          <w:sz w:val="28"/>
        </w:rPr>
        <w:t>6. Future Improvements</w:t>
      </w:r>
    </w:p>
    <w:p>
      <w:pPr>
        <w:rPr>
          <w:sz w:val="22"/>
        </w:rPr>
      </w:pPr>
      <w:r>
        <w:rPr>
          <w:sz w:val="22"/>
        </w:rPr>
        <w:t xml:space="preserve">- Collect more labeled data, especially for the Material class</w:t>
      </w:r>
    </w:p>
    <w:p>
      <w:pPr>
        <w:rPr>
          <w:sz w:val="22"/>
        </w:rPr>
      </w:pPr>
      <w:r>
        <w:rPr>
          <w:sz w:val="22"/>
        </w:rPr>
        <w:t xml:space="preserve">- Implement active learning for iterative label refinement</w:t>
      </w:r>
    </w:p>
    <w:p>
      <w:pPr>
        <w:rPr>
          <w:sz w:val="22"/>
        </w:rPr>
      </w:pPr>
      <w:r>
        <w:rPr>
          <w:sz w:val="22"/>
        </w:rPr>
        <w:t xml:space="preserve">- Ensemble rule-based and ML approaches for production robustness</w:t>
      </w:r>
    </w:p>
    <w:p>
      <w:pPr>
        <w:rPr>
          <w:sz w:val="22"/>
        </w:rPr>
      </w:pPr>
      <w:r>
        <w:rPr>
          <w:sz w:val="22"/>
        </w:rPr>
        <w:t xml:space="preserve">- Add named entity recognition for vendor/brand extraction</w:t>
      </w:r>
    </w:p>
    <w:p>
      <w:pPr>
        <w:rPr>
          <w:sz w:val="22"/>
        </w:rPr>
      </w:pPr>
      <w:r>
        <w:rPr>
          <w:sz w:val="22"/>
        </w:rPr>
        <w:t xml:space="preserve">- Consider hierarchical classification for sub-categories within each type</w:t>
      </w:r>
    </w:p>
  </w:body>
</w:document>
</file>

<file path=word/_rels/document.xml.rels><?xml version="1.0" encoding="UTF-8" standalone="yes"?>
<Relationships xmlns="http://schemas.openxmlformats.org/package/2006/relationships">
</Relationships>
</file>