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 Conversion - Gaps Found, By Source</w:t>
      </w:r>
    </w:p>
    <w:p>
      <w:r>
        <w:rPr>
          <w:b/>
          <w:i w:val="0"/>
        </w:rPr>
        <w:t>For management review. Snapshot as of 2026-07-14 - analysis is still ongoing; this is not a final or complete list. More gaps are expected to surface as the remaining source material is worked through.</w:t>
      </w:r>
    </w:p>
    <w:p>
      <w:r>
        <w:rPr>
          <w:b/>
          <w:i w:val="0"/>
        </w:rPr>
        <w:t>Sources considered in this analysis:</w:t>
      </w:r>
    </w:p>
    <w:p>
      <w:pPr>
        <w:pStyle w:val="ListBullet"/>
      </w:pPr>
      <w:r>
        <w:rPr>
          <w:b/>
        </w:rPr>
        <w:t xml:space="preserve">Pure-to-Write </w:t>
      </w:r>
      <w:r>
        <w:t>- the raw source insurance data, before conversion</w:t>
      </w:r>
    </w:p>
    <w:p>
      <w:pPr>
        <w:pStyle w:val="ListBullet"/>
      </w:pPr>
      <w:r>
        <w:rPr>
          <w:b/>
        </w:rPr>
        <w:t xml:space="preserve">PL101 (Carrier_PersonalProtectionBase_1_0_0_0.xml) </w:t>
      </w:r>
      <w:r>
        <w:t>- the official field specification</w:t>
      </w:r>
    </w:p>
    <w:p>
      <w:pPr>
        <w:pStyle w:val="ListBullet"/>
      </w:pPr>
      <w:r>
        <w:rPr>
          <w:b/>
        </w:rPr>
        <w:t xml:space="preserve">Manuscript </w:t>
      </w:r>
      <w:r>
        <w:t>- the other DCT configuration files (workflow rules, coverage/clause code libraries, node structure)</w:t>
      </w:r>
    </w:p>
    <w:p>
      <w:pPr>
        <w:pStyle w:val="ListBullet"/>
      </w:pPr>
      <w:r>
        <w:rPr>
          <w:b/>
        </w:rPr>
        <w:t xml:space="preserve">SAS </w:t>
      </w:r>
      <w:r>
        <w:t>- the legacy conversion scripts, checked as a reference where the other three don't have an answer</w:t>
      </w:r>
    </w:p>
    <w:p>
      <w:r>
        <w:rPr>
          <w:b w:val="0"/>
          <w:i/>
        </w:rPr>
        <w:t>Every finding below was discovered by comparing the converted output against one of these four - not guessed or inferred. Each section explains what the source is, how we use it, and gives real examples of what it caught so far.</w:t>
      </w:r>
    </w:p>
    <w:p/>
    <w:p>
      <w:pPr>
        <w:pStyle w:val="Heading1"/>
      </w:pPr>
      <w:r>
        <w:t>1. Pure-to-Write (the source insurance data itself)</w:t>
      </w:r>
    </w:p>
    <w:p>
      <w:r>
        <w:rPr>
          <w:b w:val="0"/>
          <w:i w:val="0"/>
        </w:rPr>
        <w:t>What it is: The raw policy data as it exists in the old system (Pure), before any conversion happens - vehicle details, building details, coverage selections, everything the customer actually has on file today.</w:t>
      </w:r>
    </w:p>
    <w:p>
      <w:r>
        <w:rPr>
          <w:b w:val="0"/>
          <w:i w:val="0"/>
        </w:rPr>
        <w:t>How we use it: For every field that ends up in the converted policy, we check whether the value actually matches what's in Pure. If Pure has real data and the converted policy shows it blank or wrong, that's a conversion bug. If Pure genuinely has no data, that's a data quality question for the business, not a coding bug.</w:t>
      </w:r>
    </w:p>
    <w:p>
      <w:r>
        <w:rPr>
          <w:b/>
          <w:i w:val="0"/>
        </w:rPr>
        <w:t>Examples found this way:</w:t>
      </w:r>
    </w:p>
    <w:p>
      <w:pPr>
        <w:pStyle w:val="ListBullet"/>
      </w:pPr>
      <w:r>
        <w:rPr>
          <w:b/>
        </w:rPr>
        <w:t xml:space="preserve">Home location coverage disappearing. </w:t>
      </w:r>
      <w:r>
        <w:t>For policy P00010162, Pure clearly shows $906,000 of Home Building cover and $202,000 of Home Contents cover for the customer's current address, but the converted policy showed nothing - the system was still looking at an old, expired policy term. Fixed and confirmed for this policy and every other policy in the same situation.</w:t>
      </w:r>
    </w:p>
    <w:p>
      <w:pPr>
        <w:pStyle w:val="ListBullet"/>
      </w:pPr>
      <w:r>
        <w:rPr>
          <w:b/>
        </w:rPr>
        <w:t xml:space="preserve">Underwriting discounts vanishing. </w:t>
      </w:r>
      <w:r>
        <w:t>596 policies had a real dollar-value loading or discount recorded in Pure that should carry through, but showed blank - a technical join was silently treating 'no vehicle involved' the same as 'no match found.' Fixed and confirmed.</w:t>
      </w:r>
    </w:p>
    <w:p>
      <w:pPr>
        <w:pStyle w:val="ListBullet"/>
      </w:pPr>
      <w:r>
        <w:rPr>
          <w:b/>
        </w:rPr>
        <w:t xml:space="preserve">Rewiring/replumbing dates lost. </w:t>
      </w:r>
      <w:r>
        <w:t>787 buildings had a real, correctly recorded year in Pure, but a backwards cleanup rule was wiping out every normal year instead of just fixing garbage ones. Fixed and confirmed.</w:t>
      </w:r>
    </w:p>
    <w:p>
      <w:pPr>
        <w:pStyle w:val="ListBullet"/>
      </w:pPr>
      <w:r>
        <w:rPr>
          <w:b/>
        </w:rPr>
        <w:t xml:space="preserve">Duplicate policies. </w:t>
      </w:r>
      <w:r>
        <w:t>72 policies were being submitted twice to Duck Creek because Pure kept both an old and a revised payment plan on file. Fixed - down to 1 remaining case tied to an unrelated upstream timing issue.</w:t>
      </w:r>
    </w:p>
    <w:p>
      <w:pPr>
        <w:pStyle w:val="ListBullet"/>
      </w:pPr>
      <w:r>
        <w:rPr>
          <w:b/>
        </w:rPr>
        <w:t xml:space="preserve">New vehicle fields added by client request. </w:t>
      </w:r>
      <w:r>
        <w:t>Fuel type, engine power, and rear track width were added on the Pure side, but the conversion had never been built to carry them through. Fixed and confirmed - 1,696 eligible policies now show real values.</w:t>
      </w:r>
    </w:p>
    <w:p>
      <w:pPr>
        <w:pStyle w:val="ListBullet"/>
      </w:pPr>
      <w:r>
        <w:rPr>
          <w:b/>
        </w:rPr>
        <w:t xml:space="preserve">Still open: </w:t>
      </w:r>
      <w:r>
        <w:t>Several Motor vehicle fields (cylinder count, drive type, engine size) are blank for 89% of vehicles because the conversion only filled them in under one specific optional condition. Fix is drafted, not yet deployed.</w:t>
      </w:r>
    </w:p>
    <w:p/>
    <w:p>
      <w:pPr>
        <w:pStyle w:val="Heading1"/>
      </w:pPr>
      <w:r>
        <w:t>2. PL101 (Carrier_PersonalProtectionBase_1_0_0_0.xml)</w:t>
      </w:r>
    </w:p>
    <w:p>
      <w:r>
        <w:rPr>
          <w:b w:val="0"/>
          <w:i w:val="0"/>
        </w:rPr>
        <w:t>What it is: The official specification for the Personal Package product - defines, field by field, which values Duck Creek will actually accept, and which fields are mandatory.</w:t>
      </w:r>
    </w:p>
    <w:p>
      <w:r>
        <w:rPr>
          <w:b w:val="0"/>
          <w:i w:val="0"/>
        </w:rPr>
        <w:t>How we use it: We check every value the conversion produces against this approved list. If Pure has a value that isn't on PL101's list, or a mandatory field comes through blank, that's a gap a simple blank-check would miss.</w:t>
      </w:r>
    </w:p>
    <w:p>
      <w:r>
        <w:rPr>
          <w:b/>
          <w:i w:val="0"/>
        </w:rPr>
        <w:t>Examples found this way:</w:t>
      </w:r>
    </w:p>
    <w:p>
      <w:pPr>
        <w:pStyle w:val="ListBullet"/>
      </w:pPr>
      <w:r>
        <w:rPr>
          <w:b/>
        </w:rPr>
        <w:t xml:space="preserve">An invalid code that would have been silently rejected. </w:t>
      </w:r>
      <w:r>
        <w:t>The conversion was producing 'FullComprehensive' for a vehicle's protection type - that value doesn't exist in PL101 at all; the correct code is 'Comprehensive'. Fixed.</w:t>
      </w:r>
    </w:p>
    <w:p>
      <w:pPr>
        <w:pStyle w:val="ListBullet"/>
      </w:pPr>
      <w:r>
        <w:rPr>
          <w:b/>
        </w:rPr>
        <w:t xml:space="preserve">Mandatory building fields blank for 991 policies (23.6%). </w:t>
      </w:r>
      <w:r>
        <w:t>Roof, Wall, and Floor Construction are all mandatory per PL101, but Pure itself has no value recorded for these 991 policies. Not a code bug - a genuine data gap, flagged to the business.</w:t>
      </w:r>
    </w:p>
    <w:p>
      <w:pPr>
        <w:pStyle w:val="ListBullet"/>
      </w:pPr>
      <w:r>
        <w:rPr>
          <w:b/>
        </w:rPr>
        <w:t xml:space="preserve">Source values with no PL101 equivalent. </w:t>
      </w:r>
      <w:r>
        <w:t>A handful of real Pure values (e.g. Main Wall 'Steel', Alarm System 'Local - Monitored') don't have any matching PL101 option. Awaiting client confirmation on the correct mapping.</w:t>
      </w:r>
    </w:p>
    <w:p>
      <w:pPr>
        <w:pStyle w:val="ListBullet"/>
      </w:pPr>
      <w:r>
        <w:rPr>
          <w:b/>
        </w:rPr>
        <w:t xml:space="preserve">32 vehicles with no Vehicle Type in Pure at all. </w:t>
      </w:r>
      <w:r>
        <w:t>Defaulted to 'PassengerVehicle' as a reasonable guess, pending explicit business sign-off.</w:t>
      </w:r>
    </w:p>
    <w:p/>
    <w:p>
      <w:pPr>
        <w:pStyle w:val="Heading1"/>
      </w:pPr>
      <w:r>
        <w:t>3. Manuscript (other DCT configuration files, beyond PL101)</w:t>
      </w:r>
    </w:p>
    <w:p>
      <w:r>
        <w:rPr>
          <w:b w:val="0"/>
          <w:i w:val="0"/>
        </w:rPr>
        <w:t>What it is: Beyond the PL101 field spec, Duck Creek's process is also driven by a workflow manuscript (session/import mechanics), coverage and clause code libraries, and structural node definitions.</w:t>
      </w:r>
    </w:p>
    <w:p>
      <w:r>
        <w:rPr>
          <w:b w:val="0"/>
          <w:i w:val="0"/>
        </w:rPr>
        <w:t>How we use it: For questions about structure - what codes are allowed, how a repeating list should be formatted, what a session setting controls - we check these files directly rather than guess.</w:t>
      </w:r>
    </w:p>
    <w:p>
      <w:r>
        <w:rPr>
          <w:b/>
          <w:i w:val="0"/>
        </w:rPr>
        <w:t>Examples found this way:</w:t>
      </w:r>
    </w:p>
    <w:p>
      <w:pPr>
        <w:pStyle w:val="ListBullet"/>
      </w:pPr>
      <w:r>
        <w:rPr>
          <w:b/>
        </w:rPr>
        <w:t xml:space="preserve">A coverage indicator that was always 'on.' </w:t>
      </w:r>
      <w:r>
        <w:t>For 2,175 policies, 'Unlimited Glass' was hardcoded to always show selected. Confirmed via the code library this is a real, independent coverage code, then wired to the real driving field. Fixed and confirmed. Seven other codes show the same pattern - awaiting a client-defined rule for which can/can't coexist.</w:t>
      </w:r>
    </w:p>
    <w:p>
      <w:pPr>
        <w:pStyle w:val="ListBullet"/>
      </w:pPr>
      <w:r>
        <w:rPr>
          <w:b/>
        </w:rPr>
        <w:t xml:space="preserve">A hardcoded session field with no real mapping. </w:t>
      </w:r>
      <w:r>
        <w:t>Every policy sends a fixed transaction number ('10'). Confirmed via the workflow manuscript this is a real, meaningful field - but neither the legacy SAS scripts nor Pure has a source value for it. Still open.</w:t>
      </w:r>
    </w:p>
    <w:p>
      <w:pPr>
        <w:pStyle w:val="ListBullet"/>
      </w:pPr>
      <w:r>
        <w:rPr>
          <w:b/>
        </w:rPr>
        <w:t xml:space="preserve">Itemized list structure not yet built. </w:t>
      </w:r>
      <w:r>
        <w:t>A client ticket asked why a specified-items list only shows Yes/No instead of the full list. Source data is ready (1,278 items, 495 policies) - what's missing is confirmation of the exact list structure Duck Creek expects. Awaiting client confirmation.</w:t>
      </w:r>
    </w:p>
    <w:p/>
    <w:p>
      <w:pPr>
        <w:pStyle w:val="Heading1"/>
      </w:pPr>
      <w:r>
        <w:t>4. SAS (legacy conversion scripts)</w:t>
      </w:r>
    </w:p>
    <w:p>
      <w:r>
        <w:rPr>
          <w:b w:val="0"/>
          <w:i w:val="0"/>
        </w:rPr>
        <w:t>What it is: The original SAS-based scripts from a prior, separate conversion effort - kept as a reference for mappings or business rules that aren't obvious from Pure or the manuscripts alone.</w:t>
      </w:r>
    </w:p>
    <w:p>
      <w:r>
        <w:rPr>
          <w:b w:val="0"/>
          <w:i w:val="0"/>
        </w:rPr>
        <w:t>How we use it: When a gap has no obvious source elsewhere, we check whether the legacy SAS logic already solved the same problem.</w:t>
      </w:r>
    </w:p>
    <w:p>
      <w:r>
        <w:rPr>
          <w:b/>
          <w:i w:val="0"/>
        </w:rPr>
        <w:t>Example:</w:t>
      </w:r>
    </w:p>
    <w:p>
      <w:pPr>
        <w:pStyle w:val="ListBullet"/>
      </w:pPr>
      <w:r>
        <w:rPr>
          <w:b/>
        </w:rPr>
        <w:t xml:space="preserve">Checked, but no answer found there either. </w:t>
      </w:r>
      <w:r>
        <w:t>For the hardcoded transaction number described above, specifically searched the extracted legacy SAS scripts (including the section covering this same policy-header data) - found no mapping. Ruled out as a source for this gap; remains open pending further investigation.</w:t>
      </w:r>
    </w:p>
    <w:p/>
    <w:p>
      <w:pPr>
        <w:pStyle w:val="Heading1"/>
      </w:pPr>
      <w:r>
        <w:t>5. Changes Received From the Client</w:t>
      </w:r>
    </w:p>
    <w:p>
      <w:r>
        <w:rPr>
          <w:b w:val="0"/>
          <w:i w:val="0"/>
        </w:rPr>
        <w:t>Not bugs - these are new requirements the client has actively asked for since conversion started, layered on top of the original scope. Listed here separately so it's clear these are additions to the work, not defects we introduced.</w:t>
      </w:r>
    </w:p>
    <w:p>
      <w:pPr>
        <w:pStyle w:val="ListBullet"/>
      </w:pPr>
      <w:r>
        <w:rPr>
          <w:b/>
        </w:rPr>
        <w:t xml:space="preserve">New RedBook vehicle fields. </w:t>
      </w:r>
      <w:r>
        <w:t>The client added three new attributes on the Pure side for vehicles - fuel type, engine power, and rear track width (all sourced from RedBook, the vehicle data provider) - and asked for them to be carried through to the converted policy. Didn't exist in the original scope at all. Built and confirmed - 1,696 eligible policies now show real values. Currently DEV only; the client's UAT environment needs the same 3 fields added on the Pure side first.</w:t>
      </w:r>
    </w:p>
    <w:p>
      <w:pPr>
        <w:pStyle w:val="ListBullet"/>
      </w:pPr>
      <w:r>
        <w:rPr>
          <w:b/>
        </w:rPr>
        <w:t xml:space="preserve">New tag requested on the location block. </w:t>
      </w:r>
      <w:r>
        <w:t>The client asked for an AddressVerified field to be added to every location, with a default value, after noticing it was missing from a real example payload they reviewed. Not originally scoped - a genuinely new field. Built and confirmed in the underlying system; not yet included in a regenerated batch of already-issued policies.</w:t>
      </w:r>
    </w:p>
    <w:p>
      <w:pPr>
        <w:pStyle w:val="ListBullet"/>
      </w:pPr>
      <w:r>
        <w:rPr>
          <w:b/>
        </w:rPr>
        <w:t xml:space="preserve">Consistent formatting for Suburb/City. </w:t>
      </w:r>
      <w:r>
        <w:t>The client's policy team asked that Suburb/City always display in uppercase, after noticing some policies showed mixed case. Traced to the source data itself having inconsistent casing in about 13.5% of records - not a conversion bug, but a reasonable formatting rule to apply. Built and confirmed - 100% of locations now show uppercase.</w:t>
      </w:r>
    </w:p>
    <w:p/>
    <w:p>
      <w:pPr>
        <w:pStyle w:val="Heading1"/>
      </w:pPr>
      <w:r>
        <w:t>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Gaps/changes found</w:t>
            </w:r>
          </w:p>
        </w:tc>
        <w:tc>
          <w:tcPr>
            <w:tcW w:type="dxa" w:w="1728"/>
          </w:tcPr>
          <w:p>
            <w:r>
              <w:rPr>
                <w:b/>
              </w:rPr>
              <w:t>Fixed &amp; confirmed</w:t>
            </w:r>
          </w:p>
        </w:tc>
        <w:tc>
          <w:tcPr>
            <w:tcW w:type="dxa" w:w="1728"/>
          </w:tcPr>
          <w:p>
            <w:r>
              <w:rPr>
                <w:b/>
              </w:rPr>
              <w:t>Awaiting client/business</w:t>
            </w:r>
          </w:p>
        </w:tc>
        <w:tc>
          <w:tcPr>
            <w:tcW w:type="dxa" w:w="1728"/>
          </w:tcPr>
          <w:p>
            <w:r>
              <w:rPr>
                <w:b/>
              </w:rPr>
              <w:t>Still investigating</w:t>
            </w:r>
          </w:p>
        </w:tc>
      </w:tr>
      <w:tr>
        <w:tc>
          <w:tcPr>
            <w:tcW w:type="dxa" w:w="1728"/>
          </w:tcPr>
          <w:p>
            <w:r>
              <w:t>Pure-to-Write</w:t>
            </w:r>
          </w:p>
        </w:tc>
        <w:tc>
          <w:tcPr>
            <w:tcW w:type="dxa" w:w="1728"/>
          </w:tcPr>
          <w:p>
            <w:r>
              <w:t>6 highlighted above (of a larger set)</w:t>
            </w:r>
          </w:p>
        </w:tc>
        <w:tc>
          <w:tcPr>
            <w:tcW w:type="dxa" w:w="1728"/>
          </w:tcPr>
          <w:p>
            <w:r>
              <w:t>5</w:t>
            </w:r>
          </w:p>
        </w:tc>
        <w:tc>
          <w:tcPr>
            <w:tcW w:type="dxa" w:w="1728"/>
          </w:tcPr>
          <w:p>
            <w:r>
              <w:t>-</w:t>
            </w:r>
          </w:p>
        </w:tc>
        <w:tc>
          <w:tcPr>
            <w:tcW w:type="dxa" w:w="1728"/>
          </w:tcPr>
          <w:p>
            <w:r>
              <w:t>1</w:t>
            </w:r>
          </w:p>
        </w:tc>
      </w:tr>
      <w:tr>
        <w:tc>
          <w:tcPr>
            <w:tcW w:type="dxa" w:w="1728"/>
          </w:tcPr>
          <w:p>
            <w:r>
              <w:t>PL101</w:t>
            </w:r>
          </w:p>
        </w:tc>
        <w:tc>
          <w:tcPr>
            <w:tcW w:type="dxa" w:w="1728"/>
          </w:tcPr>
          <w:p>
            <w:r>
              <w:t>4</w:t>
            </w:r>
          </w:p>
        </w:tc>
        <w:tc>
          <w:tcPr>
            <w:tcW w:type="dxa" w:w="1728"/>
          </w:tcPr>
          <w:p>
            <w:r>
              <w:t>1</w:t>
            </w:r>
          </w:p>
        </w:tc>
        <w:tc>
          <w:tcPr>
            <w:tcW w:type="dxa" w:w="1728"/>
          </w:tcPr>
          <w:p>
            <w:r>
              <w:t>3</w:t>
            </w:r>
          </w:p>
        </w:tc>
        <w:tc>
          <w:tcPr>
            <w:tcW w:type="dxa" w:w="1728"/>
          </w:tcPr>
          <w:p>
            <w:r>
              <w:t>-</w:t>
            </w:r>
          </w:p>
        </w:tc>
      </w:tr>
      <w:tr>
        <w:tc>
          <w:tcPr>
            <w:tcW w:type="dxa" w:w="1728"/>
          </w:tcPr>
          <w:p>
            <w:r>
              <w:t>Manuscript</w:t>
            </w:r>
          </w:p>
        </w:tc>
        <w:tc>
          <w:tcPr>
            <w:tcW w:type="dxa" w:w="1728"/>
          </w:tcPr>
          <w:p>
            <w:r>
              <w:t>3</w:t>
            </w:r>
          </w:p>
        </w:tc>
        <w:tc>
          <w:tcPr>
            <w:tcW w:type="dxa" w:w="1728"/>
          </w:tcPr>
          <w:p>
            <w:r>
              <w:t>1</w:t>
            </w:r>
          </w:p>
        </w:tc>
        <w:tc>
          <w:tcPr>
            <w:tcW w:type="dxa" w:w="1728"/>
          </w:tcPr>
          <w:p>
            <w:r>
              <w:t>1</w:t>
            </w:r>
          </w:p>
        </w:tc>
        <w:tc>
          <w:tcPr>
            <w:tcW w:type="dxa" w:w="1728"/>
          </w:tcPr>
          <w:p>
            <w:r>
              <w:t>1</w:t>
            </w:r>
          </w:p>
        </w:tc>
      </w:tr>
      <w:tr>
        <w:tc>
          <w:tcPr>
            <w:tcW w:type="dxa" w:w="1728"/>
          </w:tcPr>
          <w:p>
            <w:r>
              <w:t>SAS</w:t>
            </w:r>
          </w:p>
        </w:tc>
        <w:tc>
          <w:tcPr>
            <w:tcW w:type="dxa" w:w="1728"/>
          </w:tcPr>
          <w:p>
            <w:r>
              <w:t>1</w:t>
            </w:r>
          </w:p>
        </w:tc>
        <w:tc>
          <w:tcPr>
            <w:tcW w:type="dxa" w:w="1728"/>
          </w:tcPr>
          <w:p>
            <w:r>
              <w:t>-</w:t>
            </w:r>
          </w:p>
        </w:tc>
        <w:tc>
          <w:tcPr>
            <w:tcW w:type="dxa" w:w="1728"/>
          </w:tcPr>
          <w:p>
            <w:r>
              <w:t>-</w:t>
            </w:r>
          </w:p>
        </w:tc>
        <w:tc>
          <w:tcPr>
            <w:tcW w:type="dxa" w:w="1728"/>
          </w:tcPr>
          <w:p>
            <w:r>
              <w:t>1 (checked, not the answer)</w:t>
            </w:r>
          </w:p>
        </w:tc>
      </w:tr>
      <w:tr>
        <w:tc>
          <w:tcPr>
            <w:tcW w:type="dxa" w:w="1728"/>
          </w:tcPr>
          <w:p>
            <w:r>
              <w:t>Client change requests (not bugs)</w:t>
            </w:r>
          </w:p>
        </w:tc>
        <w:tc>
          <w:tcPr>
            <w:tcW w:type="dxa" w:w="1728"/>
          </w:tcPr>
          <w:p>
            <w:r>
              <w:t>3</w:t>
            </w:r>
          </w:p>
        </w:tc>
        <w:tc>
          <w:tcPr>
            <w:tcW w:type="dxa" w:w="1728"/>
          </w:tcPr>
          <w:p>
            <w:r>
              <w:t>3</w:t>
            </w:r>
          </w:p>
        </w:tc>
        <w:tc>
          <w:tcPr>
            <w:tcW w:type="dxa" w:w="1728"/>
          </w:tcPr>
          <w:p>
            <w:r>
              <w:t>-</w:t>
            </w:r>
          </w:p>
        </w:tc>
        <w:tc>
          <w:tcPr>
            <w:tcW w:type="dxa" w:w="1728"/>
          </w:tcPr>
          <w:p>
            <w:r>
              <w:t>-</w:t>
            </w:r>
          </w:p>
        </w:tc>
      </w:tr>
    </w:tbl>
    <w:p/>
    <w:p>
      <w:r>
        <w:rPr>
          <w:b w:val="0"/>
          <w:i/>
        </w:rPr>
        <w:t>This is a curated set of the clearest, most concrete examples per source, as analysis stands today, 2026-07-14 - not the full gap register and not a final count. Analysis is ongoing and these numbers will grow. The complete list (55 items across all statuses, current cut) is available separately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