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SpatialGIS Capability Statement</w:t>
      </w:r>
    </w:p>
    <w:p>
      <w:pPr>
        <w:spacing w:before="0" w:after="120"/>
      </w:pPr>
      <w:r>
        <w:rPr>
          <w:rFonts w:ascii="Calibri" w:hAnsi="Calibri"/>
          <w:b/>
        </w:rPr>
        <w:t>DOJ OJP — IT Portfolio Governance, Architecture, Data Integration, and DevOps</w:t>
      </w:r>
    </w:p>
    <w:p>
      <w:pPr>
        <w:spacing w:before="0" w:after="120"/>
      </w:pPr>
      <w:r>
        <w:rPr>
          <w:rFonts w:ascii="Calibri" w:hAnsi="Calibri"/>
          <w:b/>
        </w:rPr>
        <w:t>MRAS RFI:</w:t>
      </w:r>
      <w:r>
        <w:rPr>
          <w:rFonts w:ascii="Calibri" w:hAnsi="Calibri"/>
        </w:rPr>
        <w:t xml:space="preserve"> SV_0P1RZxD8BxFfAnY | </w:t>
      </w:r>
      <w:r>
        <w:rPr>
          <w:rFonts w:ascii="Calibri" w:hAnsi="Calibri"/>
          <w:b/>
        </w:rPr>
        <w:t>Response Date:</w:t>
      </w:r>
      <w:r>
        <w:rPr>
          <w:rFonts w:ascii="Calibri" w:hAnsi="Calibri"/>
        </w:rPr>
        <w:t xml:space="preserve"> 2026-05-26 | </w:t>
      </w:r>
      <w:r>
        <w:rPr>
          <w:rFonts w:ascii="Calibri" w:hAnsi="Calibri"/>
          <w:b/>
        </w:rPr>
        <w:t>POC:</w:t>
      </w:r>
      <w:r>
        <w:rPr>
          <w:rFonts w:ascii="Calibri" w:hAnsi="Calibri"/>
        </w:rPr>
        <w:t xml:space="preserve"> Kendrick Faison</w:t>
      </w:r>
    </w:p>
    <w:p>
      <w:pPr>
        <w:pStyle w:val="Heading2"/>
      </w:pPr>
      <w:r>
        <w:t>Company Snapshot</w:t>
      </w:r>
    </w:p>
    <w:p>
      <w:pPr>
        <w:spacing w:before="0" w:after="120"/>
      </w:pPr>
      <w:r>
        <w:rPr>
          <w:rFonts w:ascii="Calibri" w:hAnsi="Calibri"/>
        </w:rPr>
        <w:t>SpatialGIS, LLC is a Top Secret–cleared, Black-owned Small Disadvantaged Business (self-certified) headquartered in Fayetteville, NC. We deliver mission-grade GEOINT, secure cloud, AI-enabled IT modernization, and enterprise architecture to federal customers. We hold GSA MAS 47QTCA24D00DS and a Navy NAWCAD Lakehurst BPA as federal prime.</w:t>
      </w:r>
    </w:p>
    <w:p>
      <w:pPr>
        <w:pStyle w:val="ListBullet"/>
        <w:ind w:left="360"/>
      </w:pPr>
      <w:r>
        <w:rPr>
          <w:rFonts w:ascii="Calibri" w:hAnsi="Calibri"/>
          <w:b/>
        </w:rPr>
        <w:t>Legal Name:</w:t>
      </w:r>
      <w:r>
        <w:rPr>
          <w:rFonts w:ascii="Calibri" w:hAnsi="Calibri"/>
        </w:rPr>
        <w:t xml:space="preserve"> SpatialGIS, LLC | </w:t>
      </w:r>
      <w:r>
        <w:rPr>
          <w:rFonts w:ascii="Calibri" w:hAnsi="Calibri"/>
          <w:b/>
        </w:rPr>
        <w:t>UEI:</w:t>
      </w:r>
      <w:r>
        <w:rPr>
          <w:rFonts w:ascii="Calibri" w:hAnsi="Calibri"/>
        </w:rPr>
        <w:t xml:space="preserve"> XE8LEMK77DC9 | </w:t>
      </w:r>
      <w:r>
        <w:rPr>
          <w:rFonts w:ascii="Calibri" w:hAnsi="Calibri"/>
          <w:b/>
        </w:rPr>
        <w:t>CAGE:</w:t>
      </w:r>
      <w:r>
        <w:rPr>
          <w:rFonts w:ascii="Calibri" w:hAnsi="Calibri"/>
        </w:rPr>
        <w:t xml:space="preserve"> 7RFJ7</w:t>
      </w:r>
    </w:p>
    <w:p>
      <w:pPr>
        <w:pStyle w:val="ListBullet"/>
        <w:ind w:left="360"/>
      </w:pPr>
      <w:r>
        <w:rPr>
          <w:rFonts w:ascii="Calibri" w:hAnsi="Calibri"/>
          <w:b/>
        </w:rPr>
        <w:t>GSA MAS:</w:t>
      </w:r>
      <w:r>
        <w:rPr>
          <w:rFonts w:ascii="Calibri" w:hAnsi="Calibri"/>
        </w:rPr>
        <w:t xml:space="preserve"> 47QTCA24D00DS (Active) — SIN 54151S applicable</w:t>
      </w:r>
    </w:p>
    <w:p>
      <w:pPr>
        <w:pStyle w:val="ListBullet"/>
        <w:ind w:left="360"/>
      </w:pPr>
      <w:r>
        <w:rPr>
          <w:rFonts w:ascii="Calibri" w:hAnsi="Calibri"/>
          <w:b/>
        </w:rPr>
        <w:t>Cleared Facility:</w:t>
      </w:r>
      <w:r>
        <w:rPr>
          <w:rFonts w:ascii="Calibri" w:hAnsi="Calibri"/>
        </w:rPr>
        <w:t xml:space="preserve"> Top Secret</w:t>
      </w:r>
    </w:p>
    <w:p>
      <w:pPr>
        <w:pStyle w:val="ListBullet"/>
        <w:ind w:left="360"/>
      </w:pPr>
      <w:r>
        <w:rPr>
          <w:rFonts w:ascii="Calibri" w:hAnsi="Calibri"/>
          <w:b/>
        </w:rPr>
        <w:t>POC:</w:t>
      </w:r>
      <w:r>
        <w:rPr>
          <w:rFonts w:ascii="Calibri" w:hAnsi="Calibri"/>
        </w:rPr>
        <w:t xml:space="preserve"> Kendrick Faison, President — kendrick@spatialgisservices.com — 301-442-3914</w:t>
      </w:r>
    </w:p>
    <w:p>
      <w:pPr>
        <w:pStyle w:val="Heading2"/>
      </w:pPr>
      <w:r>
        <w:t>Fit to the OJP OCIO Statement of Objectives</w:t>
      </w:r>
    </w:p>
    <w:p>
      <w:pPr>
        <w:spacing w:before="0" w:after="120"/>
      </w:pPr>
      <w:r>
        <w:rPr>
          <w:rFonts w:ascii="Calibri" w:hAnsi="Calibri"/>
        </w:rPr>
        <w:t xml:space="preserve">The OCIO SOO seeks a high-performing product team for the combined </w:t>
      </w:r>
      <w:r>
        <w:rPr>
          <w:rFonts w:ascii="Calibri" w:hAnsi="Calibri"/>
          <w:b/>
        </w:rPr>
        <w:t>Portfolio Governance, Architecture, Data Integration, and DevOps Center of Excellence</w:t>
      </w:r>
      <w:r>
        <w:rPr>
          <w:rFonts w:ascii="Calibri" w:hAnsi="Calibri"/>
        </w:rPr>
        <w:t>, supporting OJP's transition to a product-model delivery for grants services, law enforcement applications, and citizen-facing websites with millions of monthly users. SpatialGIS responds against each performance objective area.</w:t>
      </w:r>
    </w:p>
    <w:p>
      <w:pPr>
        <w:pStyle w:val="Heading3"/>
      </w:pPr>
      <w:r>
        <w:t>IT Portfolio Governance and Architecture Innovation</w:t>
      </w:r>
    </w:p>
    <w:p>
      <w:pPr>
        <w:spacing w:before="0" w:after="120"/>
      </w:pPr>
      <w:r>
        <w:rPr>
          <w:rFonts w:ascii="Calibri" w:hAnsi="Calibri"/>
        </w:rPr>
        <w:t>The SOO calls for managing OJP's Engineering Review Board, Standards Working Group, IT Portfolio Review Board, and Architecture Review Board; building and maintaining an enterprise architecture repository; embedding product management and prototyping into conventional architecture practice; and providing AoAs, roadmaps, and solution architecture recommendations.</w:t>
      </w:r>
    </w:p>
    <w:p>
      <w:pPr>
        <w:spacing w:before="0" w:after="120"/>
      </w:pPr>
      <w:r>
        <w:rPr>
          <w:rFonts w:ascii="Calibri" w:hAnsi="Calibri"/>
        </w:rPr>
        <w:t xml:space="preserve">SpatialGIS delivers enterprise architecture, program management, advisory, and cloud engineering on </w:t>
      </w:r>
      <w:r>
        <w:rPr>
          <w:rFonts w:ascii="Calibri" w:hAnsi="Calibri"/>
          <w:b/>
        </w:rPr>
        <w:t>USTRANSCOM EADE</w:t>
      </w:r>
      <w:r>
        <w:rPr>
          <w:rFonts w:ascii="Calibri" w:hAnsi="Calibri"/>
        </w:rPr>
        <w:t xml:space="preserve"> (subcontract to UNCOMN on HTC71126DE116 bridge) — the scope of which qualifies as both Technical &amp; Engineering (T&amp;E) and Management &amp; Advisory (M&amp;A) Relevant under OASIS+ Standard Relevance Verification. We also deliver Management &amp; Acquisition Consulting under MAS SIN 541611. ServiceNow Strategic Portfolio Management (SPM) and Enterprise Architecture Repository (EAR) tool support are within scope of our 541611 and 54151S delivery.</w:t>
      </w:r>
    </w:p>
    <w:p>
      <w:pPr>
        <w:pStyle w:val="Heading3"/>
      </w:pPr>
      <w:r>
        <w:t>Data Integration and DevOps</w:t>
      </w:r>
    </w:p>
    <w:p>
      <w:pPr>
        <w:spacing w:before="0" w:after="120"/>
      </w:pPr>
      <w:r>
        <w:rPr>
          <w:rFonts w:ascii="Calibri" w:hAnsi="Calibri"/>
        </w:rPr>
        <w:t>The SOO names the active toolchain: Jenkins on AWS self-hosted, Ansible Tower on OJP AWS Gov cloud, Azure DevOps (boards, pipelines, test plans, artifacts) with EntraID, WS02 API-Manager across ~40 Linux servers, GIT on Azure DevOps, Docker / AWS ECS container registry, Acunetix and Guardium scanning, Tenable on OJP SCN, Status Cake monitoring, and Splunk log analytics.</w:t>
      </w:r>
    </w:p>
    <w:p>
      <w:pPr>
        <w:spacing w:before="0" w:after="120"/>
      </w:pPr>
      <w:r>
        <w:rPr>
          <w:rFonts w:ascii="Calibri" w:hAnsi="Calibri"/>
        </w:rPr>
        <w:t xml:space="preserve">SpatialGIS's </w:t>
      </w:r>
      <w:r>
        <w:rPr>
          <w:rFonts w:ascii="Calibri" w:hAnsi="Calibri"/>
          <w:b/>
        </w:rPr>
        <w:t>Secure Cloud &amp; DevSecOps Engineering</w:t>
      </w:r>
      <w:r>
        <w:rPr>
          <w:rFonts w:ascii="Calibri" w:hAnsi="Calibri"/>
        </w:rPr>
        <w:t xml:space="preserve"> practice covers AWS Gov Cloud and Azure architecture, CI/CD pipeline design (Jenkins-class and Azure DevOps), Infrastructure-as-Code, container orchestration, and Zero Trust implementation aligned to DoD CC SRG and NIST 800-171 / CMMC Level 2. Our </w:t>
      </w:r>
      <w:r>
        <w:rPr>
          <w:rFonts w:ascii="Calibri" w:hAnsi="Calibri"/>
          <w:b/>
        </w:rPr>
        <w:t>TitanX</w:t>
      </w:r>
      <w:r>
        <w:rPr>
          <w:rFonts w:ascii="Calibri" w:hAnsi="Calibri"/>
        </w:rPr>
        <w:t xml:space="preserve"> subcontract (TS/SCI work for an IC customer under Prime 2020-20080600403, NAICS 541511 custom computer programming) is direct DevSecOps and custom programming prior art. WS02 API-Manager integration and load monitoring align with our custom-API and rate-limiting work on USTRANSCOM EADE.</w:t>
      </w:r>
    </w:p>
    <w:p>
      <w:pPr>
        <w:pStyle w:val="Heading3"/>
      </w:pPr>
      <w:r>
        <w:t>Lead &amp; Manage Change, Manage &amp; Enhance Performance</w:t>
      </w:r>
    </w:p>
    <w:p>
      <w:pPr>
        <w:spacing w:before="0" w:after="120"/>
      </w:pPr>
      <w:r>
        <w:rPr>
          <w:rFonts w:ascii="Calibri" w:hAnsi="Calibri"/>
        </w:rPr>
        <w:t>OCIO requires stakeholder coaching, agile/product/engineering training, OMB A-11 Section 280 performance metrics maintenance, monthly cadence reporting, and integrated roadmap publication. SpatialGIS's Management &amp; Acquisition Consulting line under SIN 541611 covers program management, acquisition support, change management coaching, and strategic advisory. Our HBCU-anchored Fayetteville State University MOU includes professional development pipelines that have produced cleared agile and engineering practitioners.</w:t>
      </w:r>
    </w:p>
    <w:p>
      <w:pPr>
        <w:pStyle w:val="Heading3"/>
      </w:pPr>
      <w:r>
        <w:t>CX / Human-Centered Design Integration</w:t>
      </w:r>
    </w:p>
    <w:p>
      <w:pPr>
        <w:spacing w:before="0" w:after="120"/>
      </w:pPr>
      <w:r>
        <w:rPr>
          <w:rFonts w:ascii="Calibri" w:hAnsi="Calibri"/>
        </w:rPr>
        <w:t>The SOO requires CX/HCD methods integrated with Business Analysis requirements gathering. SpatialGIS's Salesforce Platform Services line (DHS / civilian agency case management and citizen-facing systems) is built on HCD principles for citizen-facing federal applications — analogous to OJP's grants-monitoring and public-facing law-enforcement application audience.</w:t>
      </w:r>
    </w:p>
    <w:p>
      <w:pPr>
        <w:pStyle w:val="Heading2"/>
      </w:pPr>
      <w:r>
        <w:t>Past Performance Relevance to OJP 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Engagement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Customer / Role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USTRANSCOM EADE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USTRANSCOM via UNCOMN (prime) — sub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Enterprise architecture lead; cloud engineering; app modernization; T&amp;E + M&amp;A Relevant per OASIS+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DOI FCHS2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DOI via IBM (prime) — sub on $2B MA-IDIQ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Cloud-program management, requirements management, configuration management, FedRAMP advisory; M&amp;A Relevant per OASIS+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TitanX (IC customer)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IC customer — sub on Prime 2020-20080600403, NAICS 541511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TS/SCI custom computer programming; DevSecOps for IC mission support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Navy NAWCAD Lakehurst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U.S. Navy — federal prime, BPA N6833523A0199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IT and engineering services support; federal-prime contract holder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NGA Janus Geography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NGA via Hexagon — sub on HM157518D0011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Secure data management for analytic missions</w:t>
            </w:r>
          </w:p>
        </w:tc>
      </w:tr>
    </w:tbl>
    <w:p/>
    <w:p>
      <w:pPr>
        <w:pStyle w:val="Heading2"/>
      </w:pPr>
      <w:r>
        <w:t>Differentiators</w:t>
      </w:r>
    </w:p>
    <w:p>
      <w:pPr>
        <w:pStyle w:val="ListBullet"/>
        <w:ind w:left="360"/>
      </w:pPr>
      <w:r>
        <w:rPr>
          <w:rFonts w:ascii="Calibri" w:hAnsi="Calibri"/>
          <w:b/>
        </w:rPr>
        <w:t>Direct enterprise-architecture prior art on USTRANSCOM EADE.</w:t>
      </w:r>
      <w:r>
        <w:rPr>
          <w:rFonts w:ascii="Calibri" w:hAnsi="Calibri"/>
        </w:rPr>
        <w:t xml:space="preserve"> EADE is recognized under OASIS+ as both T&amp;E and M&amp;A Relevant; the same scope dimensions OJP OCIO is asking for here.</w:t>
      </w:r>
    </w:p>
    <w:p>
      <w:pPr>
        <w:pStyle w:val="ListBullet"/>
        <w:ind w:left="360"/>
      </w:pPr>
      <w:r>
        <w:rPr>
          <w:rFonts w:ascii="Calibri" w:hAnsi="Calibri"/>
          <w:b/>
        </w:rPr>
        <w:t>DevSecOps + custom programming + cloud as a single accountable team.</w:t>
      </w:r>
      <w:r>
        <w:rPr>
          <w:rFonts w:ascii="Calibri" w:hAnsi="Calibri"/>
        </w:rPr>
        <w:t xml:space="preserve"> SpatialGIS does not stitch together separate prime/sub stacks for these three; they are delivered by one team aligned to DoD CC SRG and NIST 800-171 / CMMC Level 2.</w:t>
      </w:r>
    </w:p>
    <w:p>
      <w:pPr>
        <w:pStyle w:val="ListBullet"/>
        <w:ind w:left="360"/>
      </w:pPr>
      <w:r>
        <w:rPr>
          <w:rFonts w:ascii="Calibri" w:hAnsi="Calibri"/>
          <w:b/>
        </w:rPr>
        <w:t>Mission fluency.</w:t>
      </w:r>
      <w:r>
        <w:rPr>
          <w:rFonts w:ascii="Calibri" w:hAnsi="Calibri"/>
        </w:rPr>
        <w:t xml:space="preserve"> SpatialGIS leadership built FEMA and DHS data programs as federal employees; OJP's grants and law-enforcement audience is familiar terrain.</w:t>
      </w:r>
    </w:p>
    <w:p>
      <w:pPr>
        <w:pStyle w:val="ListBullet"/>
        <w:ind w:left="360"/>
      </w:pPr>
      <w:r>
        <w:rPr>
          <w:rFonts w:ascii="Calibri" w:hAnsi="Calibri"/>
          <w:b/>
        </w:rPr>
        <w:t>Cleared workforce pipeline.</w:t>
      </w:r>
      <w:r>
        <w:rPr>
          <w:rFonts w:ascii="Calibri" w:hAnsi="Calibri"/>
        </w:rPr>
        <w:t xml:space="preserve"> Fayetteville State University HBCU lab — formal MOU; first Black-owned-company lab co-located at an HBCU.</w:t>
      </w:r>
    </w:p>
    <w:p>
      <w:pPr>
        <w:pStyle w:val="Heading2"/>
      </w:pPr>
      <w:r>
        <w:t>Business Information</w:t>
      </w:r>
    </w:p>
    <w:p>
      <w:pPr>
        <w:pStyle w:val="ListBullet"/>
        <w:ind w:left="360"/>
      </w:pPr>
      <w:r>
        <w:rPr>
          <w:rFonts w:ascii="Calibri" w:hAnsi="Calibri"/>
          <w:b/>
        </w:rPr>
        <w:t>Business Size:</w:t>
      </w:r>
      <w:r>
        <w:rPr>
          <w:rFonts w:ascii="Calibri" w:hAnsi="Calibri"/>
        </w:rPr>
        <w:t xml:space="preserve"> Small business under NAICS 541519, 541511, 541611, 541618, 541690, 541990</w:t>
      </w:r>
    </w:p>
    <w:p>
      <w:pPr>
        <w:pStyle w:val="ListBullet"/>
        <w:ind w:left="360"/>
      </w:pPr>
      <w:r>
        <w:rPr>
          <w:rFonts w:ascii="Calibri" w:hAnsi="Calibri"/>
          <w:b/>
        </w:rPr>
        <w:t>Socioeconomic (formal certifications on GSA contract):</w:t>
      </w:r>
      <w:r>
        <w:rPr>
          <w:rFonts w:ascii="Calibri" w:hAnsi="Calibri"/>
        </w:rPr>
        <w:t xml:space="preserve"> N/A — SpatialGIS holds no SBA-issued formal certification</w:t>
      </w:r>
    </w:p>
    <w:p>
      <w:pPr>
        <w:pStyle w:val="ListBullet"/>
        <w:ind w:left="360"/>
      </w:pPr>
      <w:r>
        <w:rPr>
          <w:rFonts w:ascii="Calibri" w:hAnsi="Calibri"/>
          <w:b/>
        </w:rPr>
        <w:t>Socioeconomic (narrative):</w:t>
      </w:r>
      <w:r>
        <w:rPr>
          <w:rFonts w:ascii="Calibri" w:hAnsi="Calibri"/>
        </w:rPr>
        <w:t xml:space="preserve"> Self-Certified Small Disadvantaged Business; Minority-Owned Business; Black American Owned; DOT-Certified DBE</w:t>
      </w:r>
    </w:p>
    <w:p>
      <w:pPr>
        <w:pStyle w:val="ListBullet"/>
        <w:ind w:left="360"/>
      </w:pPr>
      <w:r>
        <w:rPr>
          <w:rFonts w:ascii="Calibri" w:hAnsi="Calibri"/>
          <w:b/>
        </w:rPr>
        <w:t>NAICS for this requirement:</w:t>
      </w:r>
      <w:r>
        <w:rPr>
          <w:rFonts w:ascii="Calibri" w:hAnsi="Calibri"/>
        </w:rPr>
        <w:t xml:space="preserve"> 541519 (Other Computer Services)</w:t>
      </w:r>
    </w:p>
    <w:p>
      <w:pPr>
        <w:pStyle w:val="ListBullet"/>
        <w:ind w:left="360"/>
      </w:pPr>
      <w:r>
        <w:rPr>
          <w:rFonts w:ascii="Calibri" w:hAnsi="Calibri"/>
          <w:b/>
        </w:rPr>
        <w:t>GSA SIN applicable:</w:t>
      </w:r>
      <w:r>
        <w:rPr>
          <w:rFonts w:ascii="Calibri" w:hAnsi="Calibri"/>
        </w:rPr>
        <w:t xml:space="preserve"> 54151S (IT Professional Services)</w:t>
      </w:r>
    </w:p>
    <w:p>
      <w:pPr>
        <w:pStyle w:val="ListBullet"/>
        <w:ind w:left="360"/>
      </w:pPr>
      <w:r>
        <w:rPr>
          <w:rFonts w:ascii="Calibri" w:hAnsi="Calibri"/>
          <w:b/>
        </w:rPr>
        <w:t>Commercial Item (FAR Part 12):</w:t>
      </w:r>
      <w:r>
        <w:rPr>
          <w:rFonts w:ascii="Calibri" w:hAnsi="Calibri"/>
        </w:rPr>
        <w:t xml:space="preserve"> Yes</w:t>
      </w:r>
    </w:p>
    <w:p>
      <w:pPr>
        <w:pStyle w:val="ListBullet"/>
        <w:ind w:left="360"/>
      </w:pPr>
      <w:r>
        <w:rPr>
          <w:rFonts w:ascii="Calibri" w:hAnsi="Calibri"/>
          <w:b/>
        </w:rPr>
        <w:t>Lead Time from Award:</w:t>
      </w:r>
      <w:r>
        <w:rPr>
          <w:rFonts w:ascii="Calibri" w:hAnsi="Calibri"/>
        </w:rPr>
        <w:t xml:space="preserve"> 30 days or less</w:t>
      </w:r>
    </w:p>
    <w:p>
      <w:pPr>
        <w:pStyle w:val="ListBullet"/>
        <w:ind w:left="360"/>
      </w:pPr>
      <w:r>
        <w:rPr>
          <w:rFonts w:ascii="Calibri" w:hAnsi="Calibri"/>
          <w:b/>
        </w:rPr>
        <w:t>Subcontracting Intent:</w:t>
      </w:r>
      <w:r>
        <w:rPr>
          <w:rFonts w:ascii="Calibri" w:hAnsi="Calibri"/>
        </w:rPr>
        <w:t xml:space="preserve"> None anticipated as prime; teaming would be opportunity-specific if needed at task-order level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