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SpatialGIS Capability Statement</w:t>
      </w:r>
    </w:p>
    <w:p>
      <w:pPr>
        <w:spacing w:before="0" w:after="120"/>
      </w:pPr>
      <w:r>
        <w:rPr>
          <w:rFonts w:ascii="Calibri" w:hAnsi="Calibri"/>
          <w:b/>
        </w:rPr>
        <w:t>GSA / FMCS — Application Development &amp; Support Services (ADSS)</w:t>
      </w:r>
    </w:p>
    <w:p>
      <w:pPr>
        <w:spacing w:before="0" w:after="120"/>
      </w:pPr>
      <w:r>
        <w:rPr>
          <w:rFonts w:ascii="Calibri" w:hAnsi="Calibri"/>
          <w:b/>
        </w:rPr>
        <w:t>MRAS RFI:</w:t>
      </w:r>
      <w:r>
        <w:rPr>
          <w:rFonts w:ascii="Calibri" w:hAnsi="Calibri"/>
        </w:rPr>
        <w:t xml:space="preserve"> SV_cSe5E3lnNxSf3NQ | </w:t>
      </w:r>
      <w:r>
        <w:rPr>
          <w:rFonts w:ascii="Calibri" w:hAnsi="Calibri"/>
          <w:b/>
        </w:rPr>
        <w:t>Response Date:</w:t>
      </w:r>
      <w:r>
        <w:rPr>
          <w:rFonts w:ascii="Calibri" w:hAnsi="Calibri"/>
        </w:rPr>
        <w:t xml:space="preserve"> 2026-05-29 | </w:t>
      </w:r>
      <w:r>
        <w:rPr>
          <w:rFonts w:ascii="Calibri" w:hAnsi="Calibri"/>
          <w:b/>
        </w:rPr>
        <w:t>POC:</w:t>
      </w:r>
      <w:r>
        <w:rPr>
          <w:rFonts w:ascii="Calibri" w:hAnsi="Calibri"/>
        </w:rPr>
        <w:t xml:space="preserve"> Kendrick Faison</w:t>
      </w:r>
    </w:p>
    <w:p>
      <w:pPr>
        <w:spacing w:before="40" w:after="40"/>
        <w:ind w:left="576"/>
        <w:jc w:val="left"/>
      </w:pPr>
      <w:r>
        <w:rPr>
          <w:rFonts w:ascii="Calibri" w:hAnsi="Calibri"/>
          <w:i/>
          <w:sz w:val="20"/>
        </w:rPr>
        <w:t>**Note on fit:** The FMCS SOW is heavily Microsoft-stack specific — Microsoft 365 (SharePoint Online, Teams, Power Platform — Apps/Dynamics/Power Automate/Power Pages/Power BI), Dataverse, custom .NET/C# applications, Collabspace, LMS365, plus Azure cloud, AWS-hosted WordPress, and legacy systems. SpatialGIS does not independently substantiate the M365/Power Platform/Dynamics/Dataverse/.NET stack. This response describes substantive capability in **cloud engineering, modernization, DevSecOps, integration, and application support**, and discloses that 15–30% subcontracting to a Microsoft-stack specialist partner would be required to perform the full ADSS scope.</w:t>
      </w:r>
    </w:p>
    <w:p>
      <w:pPr>
        <w:pStyle w:val="Heading2"/>
      </w:pPr>
      <w:r>
        <w:t>Company Snapshot</w:t>
      </w:r>
    </w:p>
    <w:p>
      <w:pPr>
        <w:spacing w:before="0" w:after="120"/>
      </w:pPr>
      <w:r>
        <w:rPr>
          <w:rFonts w:ascii="Calibri" w:hAnsi="Calibri"/>
        </w:rPr>
        <w:t>SpatialGIS, LLC is a Top Secret–cleared, Black-owned Small Disadvantaged Business (self-certified) headquartered in Fayetteville, NC. We deliver mission-grade GEOINT, secure cloud, and AI-enabled IT modernization to federal customers. GSA MAS 47QTCA24D00DS active; Navy NAWCAD Lakehurst BPA as federal prime.</w:t>
      </w:r>
    </w:p>
    <w:p>
      <w:pPr>
        <w:pStyle w:val="ListBullet"/>
        <w:ind w:left="360"/>
      </w:pPr>
      <w:r>
        <w:rPr>
          <w:rFonts w:ascii="Calibri" w:hAnsi="Calibri"/>
          <w:b/>
        </w:rPr>
        <w:t>Legal Name:</w:t>
      </w:r>
      <w:r>
        <w:rPr>
          <w:rFonts w:ascii="Calibri" w:hAnsi="Calibri"/>
        </w:rPr>
        <w:t xml:space="preserve"> SpatialGIS, LLC | </w:t>
      </w:r>
      <w:r>
        <w:rPr>
          <w:rFonts w:ascii="Calibri" w:hAnsi="Calibri"/>
          <w:b/>
        </w:rPr>
        <w:t>UEI:</w:t>
      </w:r>
      <w:r>
        <w:rPr>
          <w:rFonts w:ascii="Calibri" w:hAnsi="Calibri"/>
        </w:rPr>
        <w:t xml:space="preserve"> XE8LEMK77DC9 | </w:t>
      </w:r>
      <w:r>
        <w:rPr>
          <w:rFonts w:ascii="Calibri" w:hAnsi="Calibri"/>
          <w:b/>
        </w:rPr>
        <w:t>CAGE:</w:t>
      </w:r>
      <w:r>
        <w:rPr>
          <w:rFonts w:ascii="Calibri" w:hAnsi="Calibri"/>
        </w:rPr>
        <w:t xml:space="preserve"> 7RFJ7</w:t>
      </w:r>
    </w:p>
    <w:p>
      <w:pPr>
        <w:pStyle w:val="ListBullet"/>
        <w:ind w:left="360"/>
      </w:pPr>
      <w:r>
        <w:rPr>
          <w:rFonts w:ascii="Calibri" w:hAnsi="Calibri"/>
          <w:b/>
        </w:rPr>
        <w:t>GSA MAS:</w:t>
      </w:r>
      <w:r>
        <w:rPr>
          <w:rFonts w:ascii="Calibri" w:hAnsi="Calibri"/>
        </w:rPr>
        <w:t xml:space="preserve"> 47QTCA24D00DS — SINs 54151S and 518210C applicable</w:t>
      </w:r>
    </w:p>
    <w:p>
      <w:pPr>
        <w:pStyle w:val="ListBullet"/>
        <w:ind w:left="360"/>
      </w:pPr>
      <w:r>
        <w:rPr>
          <w:rFonts w:ascii="Calibri" w:hAnsi="Calibri"/>
          <w:b/>
        </w:rPr>
        <w:t>Cleared Facility:</w:t>
      </w:r>
      <w:r>
        <w:rPr>
          <w:rFonts w:ascii="Calibri" w:hAnsi="Calibri"/>
        </w:rPr>
        <w:t xml:space="preserve"> Top Secret</w:t>
      </w:r>
    </w:p>
    <w:p>
      <w:pPr>
        <w:pStyle w:val="ListBullet"/>
        <w:ind w:left="360"/>
      </w:pPr>
      <w:r>
        <w:rPr>
          <w:rFonts w:ascii="Calibri" w:hAnsi="Calibri"/>
          <w:b/>
        </w:rPr>
        <w:t>POC:</w:t>
      </w:r>
      <w:r>
        <w:rPr>
          <w:rFonts w:ascii="Calibri" w:hAnsi="Calibri"/>
        </w:rPr>
        <w:t xml:space="preserve"> Kendrick Faison, President — kendrick@spatialgisservices.com — 301-442-3914</w:t>
      </w:r>
    </w:p>
    <w:p>
      <w:pPr>
        <w:pStyle w:val="Heading2"/>
      </w:pPr>
      <w:r>
        <w:t>Fit to the FMCS ADSS Statement of Work</w:t>
      </w:r>
    </w:p>
    <w:p>
      <w:pPr>
        <w:pStyle w:val="Heading3"/>
      </w:pPr>
      <w:r>
        <w:t>Where SpatialGIS Is a Direct Fit</w:t>
      </w:r>
    </w:p>
    <w:p>
      <w:pPr>
        <w:pStyle w:val="ListBullet"/>
        <w:ind w:left="360"/>
      </w:pPr>
      <w:r>
        <w:rPr>
          <w:rFonts w:ascii="Calibri" w:hAnsi="Calibri"/>
          <w:b/>
        </w:rPr>
        <w:t>Application modernization and support lifecycle.</w:t>
      </w:r>
      <w:r>
        <w:rPr>
          <w:rFonts w:ascii="Calibri" w:hAnsi="Calibri"/>
        </w:rPr>
        <w:t xml:space="preserve"> SpatialGIS's DevSecOps &amp; Application Modernization practice covers secure CI/CD pipeline design, container orchestration, and legacy system modernization aligned to DoD CC SRG and NIST 800-171 / CMMC Level 2.</w:t>
      </w:r>
    </w:p>
    <w:p>
      <w:pPr>
        <w:pStyle w:val="ListBullet"/>
        <w:ind w:left="360"/>
      </w:pPr>
      <w:r>
        <w:rPr>
          <w:rFonts w:ascii="Calibri" w:hAnsi="Calibri"/>
          <w:b/>
        </w:rPr>
        <w:t>Azure and AWS cloud engineering, migration, and operations.</w:t>
      </w:r>
      <w:r>
        <w:rPr>
          <w:rFonts w:ascii="Calibri" w:hAnsi="Calibri"/>
        </w:rPr>
        <w:t xml:space="preserve"> Anchored by USTRANSCOM EADE delivery. The FMCS SOW lists Azure cloud services and an AWS-hosted WordPress site — both within scope of our cloud-engineering practice (MAS SIN 518210C).</w:t>
      </w:r>
    </w:p>
    <w:p>
      <w:pPr>
        <w:pStyle w:val="ListBullet"/>
        <w:ind w:left="360"/>
      </w:pPr>
      <w:r>
        <w:rPr>
          <w:rFonts w:ascii="Calibri" w:hAnsi="Calibri"/>
          <w:b/>
        </w:rPr>
        <w:t>Cybersecurity, ATO, RMF, and continuous monitoring.</w:t>
      </w:r>
      <w:r>
        <w:rPr>
          <w:rFonts w:ascii="Calibri" w:hAnsi="Calibri"/>
        </w:rPr>
        <w:t xml:space="preserve"> Our practice covers RMF execution, ATO support, Zero Trust architecture, continuous monitoring against NIST 800-53 and CMMC controls.</w:t>
      </w:r>
    </w:p>
    <w:p>
      <w:pPr>
        <w:pStyle w:val="ListBullet"/>
        <w:ind w:left="360"/>
      </w:pPr>
      <w:r>
        <w:rPr>
          <w:rFonts w:ascii="Calibri" w:hAnsi="Calibri"/>
          <w:b/>
        </w:rPr>
        <w:t>Program management, monthly status reporting, R/Y/G governance.</w:t>
      </w:r>
      <w:r>
        <w:rPr>
          <w:rFonts w:ascii="Calibri" w:hAnsi="Calibri"/>
        </w:rPr>
        <w:t xml:space="preserve"> SOW Section 1.4 (Monthly Status Report contents — Executive Summary, project status, risks, planned vs. actual dates, R/Y/G, milestones, staffing, operations metrics) aligns to SpatialGIS Management &amp; Acquisition Consulting under MAS SIN 541611.</w:t>
      </w:r>
    </w:p>
    <w:p>
      <w:pPr>
        <w:pStyle w:val="ListBullet"/>
        <w:ind w:left="360"/>
      </w:pPr>
      <w:r>
        <w:rPr>
          <w:rFonts w:ascii="Calibri" w:hAnsi="Calibri"/>
          <w:b/>
        </w:rPr>
        <w:t>Custom application development.</w:t>
      </w:r>
      <w:r>
        <w:rPr>
          <w:rFonts w:ascii="Calibri" w:hAnsi="Calibri"/>
        </w:rPr>
        <w:t xml:space="preserve"> Our TitanX subcontract (TS/SCI custom computer programming for an IC customer, NAICS 541511) is direct prior art for federal custom-app delivery.</w:t>
      </w:r>
    </w:p>
    <w:p>
      <w:pPr>
        <w:pStyle w:val="ListBullet"/>
        <w:ind w:left="360"/>
      </w:pPr>
      <w:r>
        <w:rPr>
          <w:rFonts w:ascii="Calibri" w:hAnsi="Calibri"/>
          <w:b/>
        </w:rPr>
        <w:t>SQL Server work and data integration.</w:t>
      </w:r>
      <w:r>
        <w:rPr>
          <w:rFonts w:ascii="Calibri" w:hAnsi="Calibri"/>
        </w:rPr>
        <w:t xml:space="preserve"> Our data-management and analytics service line covers data engineering, governance, MDM, and analytics-platform implementation.</w:t>
      </w:r>
    </w:p>
    <w:p>
      <w:pPr>
        <w:pStyle w:val="Heading3"/>
      </w:pPr>
      <w:r>
        <w:t>Where SpatialGIS Would Subcontract</w:t>
      </w:r>
    </w:p>
    <w:p>
      <w:pPr>
        <w:spacing w:before="0" w:after="120"/>
      </w:pPr>
      <w:r>
        <w:rPr>
          <w:rFonts w:ascii="Calibri" w:hAnsi="Calibri"/>
        </w:rPr>
        <w:t>The following SOW elements are Microsoft-product-specific and would be delivered via a Microsoft-stack teaming partner under SpatialGIS prime: SharePoint Online administration and customization; Microsoft Teams admin; Power Platform development (Power Apps, Power Automate, Power Pages, Power BI); Dynamics 365 development; Dataverse modeling and administration; .NET/C# native application development; Collabspace ERM; LMS365.</w:t>
      </w:r>
    </w:p>
    <w:p>
      <w:pPr>
        <w:spacing w:before="0" w:after="120"/>
      </w:pPr>
      <w:r>
        <w:rPr>
          <w:rFonts w:ascii="Calibri" w:hAnsi="Calibri"/>
        </w:rPr>
        <w:t xml:space="preserve">Subcontracting estimate: </w:t>
      </w:r>
      <w:r>
        <w:rPr>
          <w:rFonts w:ascii="Calibri" w:hAnsi="Calibri"/>
          <w:b/>
        </w:rPr>
        <w:t>15–30%</w:t>
      </w:r>
      <w:r>
        <w:rPr>
          <w:rFonts w:ascii="Calibri" w:hAnsi="Calibri"/>
        </w:rPr>
        <w:t xml:space="preserve"> for the Microsoft-stack-specific elements. SpatialGIS would retain prime responsibility for cloud engineering, DevSecOps, cybersecurity, application modernization, integration, program management, and reporting.</w:t>
      </w:r>
    </w:p>
    <w:p>
      <w:pPr>
        <w:pStyle w:val="Heading2"/>
      </w:pPr>
      <w:r>
        <w:t>Past Performance Relevance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/>
                <w:b/>
              </w:rPr>
              <w:t>Engagement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/>
                <w:b/>
              </w:rPr>
              <w:t>Customer / Role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/>
                <w:b/>
              </w:rPr>
              <w:t>Relevance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/>
              </w:rPr>
              <w:t>USTRANSCOM EADE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/>
              </w:rPr>
              <w:t>USTRANSCOM via UNCOMN (prime) — sub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/>
              </w:rPr>
              <w:t>Enterprise architecture, AWS/Azure engineering, application modernization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/>
              </w:rPr>
              <w:t>DOI FCHS2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/>
              </w:rPr>
              <w:t>DOI via IBM (prime) — sub on $2B MA-IDIQ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/>
              </w:rPr>
              <w:t>Cloud-program management; FedRAMP advisory across DOI bureau task orders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/>
              </w:rPr>
              <w:t>TitanX (IC customer)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/>
              </w:rPr>
              <w:t>IC customer — sub on Prime 2020-20080600403, NAICS 541511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/>
              </w:rPr>
              <w:t>Custom computer programming, TS/SCI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/>
              </w:rPr>
              <w:t>Navy NAWCAD Lakehurst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/>
              </w:rPr>
              <w:t>U.S. Navy — federal prime, BPA N6833523A0199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/>
              </w:rPr>
              <w:t>IT and engineering services support</w:t>
            </w:r>
          </w:p>
        </w:tc>
      </w:tr>
    </w:tbl>
    <w:p/>
    <w:p>
      <w:pPr>
        <w:pStyle w:val="Heading2"/>
      </w:pPr>
      <w:r>
        <w:t>Business Information</w:t>
      </w:r>
    </w:p>
    <w:p>
      <w:pPr>
        <w:pStyle w:val="ListBullet"/>
        <w:ind w:left="360"/>
      </w:pPr>
      <w:r>
        <w:rPr>
          <w:rFonts w:ascii="Calibri" w:hAnsi="Calibri"/>
          <w:b/>
        </w:rPr>
        <w:t>Business Size:</w:t>
      </w:r>
      <w:r>
        <w:rPr>
          <w:rFonts w:ascii="Calibri" w:hAnsi="Calibri"/>
        </w:rPr>
        <w:t xml:space="preserve"> Small business under NAICS 541519, 518210, 541511, 541611</w:t>
      </w:r>
    </w:p>
    <w:p>
      <w:pPr>
        <w:pStyle w:val="ListBullet"/>
        <w:ind w:left="360"/>
      </w:pPr>
      <w:r>
        <w:rPr>
          <w:rFonts w:ascii="Calibri" w:hAnsi="Calibri"/>
          <w:b/>
        </w:rPr>
        <w:t>Socioeconomic (formal certifications on GSA contract):</w:t>
      </w:r>
      <w:r>
        <w:rPr>
          <w:rFonts w:ascii="Calibri" w:hAnsi="Calibri"/>
        </w:rPr>
        <w:t xml:space="preserve"> N/A — SpatialGIS holds no SBA-issued formal certification</w:t>
      </w:r>
    </w:p>
    <w:p>
      <w:pPr>
        <w:pStyle w:val="ListBullet"/>
        <w:ind w:left="360"/>
      </w:pPr>
      <w:r>
        <w:rPr>
          <w:rFonts w:ascii="Calibri" w:hAnsi="Calibri"/>
          <w:b/>
        </w:rPr>
        <w:t>Socioeconomic (narrative):</w:t>
      </w:r>
      <w:r>
        <w:rPr>
          <w:rFonts w:ascii="Calibri" w:hAnsi="Calibri"/>
        </w:rPr>
        <w:t xml:space="preserve"> Self-Certified Small Disadvantaged Business; Minority-Owned Business; Black American Owned; DOT-Certified DBE</w:t>
      </w:r>
    </w:p>
    <w:p>
      <w:pPr>
        <w:pStyle w:val="ListBullet"/>
        <w:ind w:left="360"/>
      </w:pPr>
      <w:r>
        <w:rPr>
          <w:rFonts w:ascii="Calibri" w:hAnsi="Calibri"/>
          <w:b/>
        </w:rPr>
        <w:t>NAICS for this requirement:</w:t>
      </w:r>
      <w:r>
        <w:rPr>
          <w:rFonts w:ascii="Calibri" w:hAnsi="Calibri"/>
        </w:rPr>
        <w:t xml:space="preserve"> 541519 (Other Computer Services)</w:t>
      </w:r>
    </w:p>
    <w:p>
      <w:pPr>
        <w:pStyle w:val="ListBullet"/>
        <w:ind w:left="360"/>
      </w:pPr>
      <w:r>
        <w:rPr>
          <w:rFonts w:ascii="Calibri" w:hAnsi="Calibri"/>
          <w:b/>
        </w:rPr>
        <w:t>GSA SINs applicable:</w:t>
      </w:r>
      <w:r>
        <w:rPr>
          <w:rFonts w:ascii="Calibri" w:hAnsi="Calibri"/>
        </w:rPr>
        <w:t xml:space="preserve"> 54151S (IT Professional Services) and 518210C (Cloud)</w:t>
      </w:r>
    </w:p>
    <w:p>
      <w:pPr>
        <w:pStyle w:val="ListBullet"/>
        <w:ind w:left="360"/>
      </w:pPr>
      <w:r>
        <w:rPr>
          <w:rFonts w:ascii="Calibri" w:hAnsi="Calibri"/>
          <w:b/>
        </w:rPr>
        <w:t>Commercial Item (FAR Part 12):</w:t>
      </w:r>
      <w:r>
        <w:rPr>
          <w:rFonts w:ascii="Calibri" w:hAnsi="Calibri"/>
        </w:rPr>
        <w:t xml:space="preserve"> Yes</w:t>
      </w:r>
    </w:p>
    <w:p>
      <w:pPr>
        <w:pStyle w:val="ListBullet"/>
        <w:ind w:left="360"/>
      </w:pPr>
      <w:r>
        <w:rPr>
          <w:rFonts w:ascii="Calibri" w:hAnsi="Calibri"/>
          <w:b/>
        </w:rPr>
        <w:t>Lead Time from Award:</w:t>
      </w:r>
      <w:r>
        <w:rPr>
          <w:rFonts w:ascii="Calibri" w:hAnsi="Calibri"/>
        </w:rPr>
        <w:t xml:space="preserve"> 30 days or less for SpatialGIS-led elements; teaming-partner availability for Microsoft-stack elements would extend ramp by up to 30 days</w:t>
      </w:r>
    </w:p>
    <w:p>
      <w:pPr>
        <w:pStyle w:val="ListBullet"/>
        <w:ind w:left="360"/>
      </w:pPr>
      <w:r>
        <w:rPr>
          <w:rFonts w:ascii="Calibri" w:hAnsi="Calibri"/>
          <w:b/>
        </w:rPr>
        <w:t>Subcontracting Intent:</w:t>
      </w:r>
      <w:r>
        <w:rPr>
          <w:rFonts w:ascii="Calibri" w:hAnsi="Calibri"/>
        </w:rPr>
        <w:t xml:space="preserve"> Between 15 and 30 percent (Microsoft-stack specialist partner)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