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SpatialGIS Capability Statement</w:t>
      </w:r>
    </w:p>
    <w:p>
      <w:pPr>
        <w:spacing w:before="0" w:after="120"/>
      </w:pPr>
      <w:r>
        <w:rPr>
          <w:rFonts w:ascii="Calibri" w:hAnsi="Calibri"/>
          <w:b/>
        </w:rPr>
        <w:t>HUD OIG — Data and Investigative Portal (MRAS RFI SV_0oirLOIchylJxhs)</w:t>
      </w:r>
    </w:p>
    <w:p>
      <w:pPr>
        <w:spacing w:before="0" w:after="120"/>
      </w:pPr>
      <w:r>
        <w:rPr>
          <w:rFonts w:ascii="Calibri" w:hAnsi="Calibri"/>
          <w:b/>
        </w:rPr>
        <w:t>Response Date:</w:t>
      </w:r>
      <w:r>
        <w:rPr>
          <w:rFonts w:ascii="Calibri" w:hAnsi="Calibri"/>
        </w:rPr>
        <w:t xml:space="preserve"> 2026-05-26 | </w:t>
      </w:r>
      <w:r>
        <w:rPr>
          <w:rFonts w:ascii="Calibri" w:hAnsi="Calibri"/>
          <w:b/>
        </w:rPr>
        <w:t>Prepared by:</w:t>
      </w:r>
      <w:r>
        <w:rPr>
          <w:rFonts w:ascii="Calibri" w:hAnsi="Calibri"/>
        </w:rPr>
        <w:t xml:space="preserve"> Kendrick Faison, President</w:t>
      </w:r>
    </w:p>
    <w:p>
      <w:pPr>
        <w:pStyle w:val="Heading2"/>
      </w:pPr>
      <w:r>
        <w:t>Company Snapshot</w:t>
      </w:r>
    </w:p>
    <w:p>
      <w:pPr>
        <w:spacing w:before="0" w:after="120"/>
      </w:pPr>
      <w:r>
        <w:rPr>
          <w:rFonts w:ascii="Calibri" w:hAnsi="Calibri"/>
        </w:rPr>
        <w:t>SpatialGIS, LLC is a Top Secret–cleared, Black-owned Small Disadvantaged Business (self-certified) headquartered in Fayetteville, NC. We deliver mission-grade geospatial intelligence, secure cloud, and AI-enabled IT modernization to federal defense, intelligence, and homeland security customers. We hold an active GSA Multiple Award Schedule (47QTCA24D00DS) covering SINs 541370GIS, 518210C, 54151S, 541515, and 541611, and a Navy NAWCAD Lakehurst BPA as federal prime.</w:t>
      </w:r>
    </w:p>
    <w:p>
      <w:pPr>
        <w:pStyle w:val="ListBullet"/>
        <w:ind w:left="360"/>
      </w:pPr>
      <w:r>
        <w:rPr>
          <w:rFonts w:ascii="Calibri" w:hAnsi="Calibri"/>
          <w:b/>
        </w:rPr>
        <w:t>Legal Name:</w:t>
      </w:r>
      <w:r>
        <w:rPr>
          <w:rFonts w:ascii="Calibri" w:hAnsi="Calibri"/>
        </w:rPr>
        <w:t xml:space="preserve"> SpatialGIS, LLC | </w:t>
      </w:r>
      <w:r>
        <w:rPr>
          <w:rFonts w:ascii="Calibri" w:hAnsi="Calibri"/>
          <w:b/>
        </w:rPr>
        <w:t>UEI:</w:t>
      </w:r>
      <w:r>
        <w:rPr>
          <w:rFonts w:ascii="Calibri" w:hAnsi="Calibri"/>
        </w:rPr>
        <w:t xml:space="preserve"> XE8LEMK77DC9 | </w:t>
      </w:r>
      <w:r>
        <w:rPr>
          <w:rFonts w:ascii="Calibri" w:hAnsi="Calibri"/>
          <w:b/>
        </w:rPr>
        <w:t>CAGE:</w:t>
      </w:r>
      <w:r>
        <w:rPr>
          <w:rFonts w:ascii="Calibri" w:hAnsi="Calibri"/>
        </w:rPr>
        <w:t xml:space="preserve"> 7RFJ7</w:t>
      </w:r>
    </w:p>
    <w:p>
      <w:pPr>
        <w:pStyle w:val="ListBullet"/>
        <w:ind w:left="360"/>
      </w:pPr>
      <w:r>
        <w:rPr>
          <w:rFonts w:ascii="Calibri" w:hAnsi="Calibri"/>
          <w:b/>
        </w:rPr>
        <w:t>GSA MAS:</w:t>
      </w:r>
      <w:r>
        <w:rPr>
          <w:rFonts w:ascii="Calibri" w:hAnsi="Calibri"/>
        </w:rPr>
        <w:t xml:space="preserve"> 47QTCA24D00DS (Active)</w:t>
      </w:r>
    </w:p>
    <w:p>
      <w:pPr>
        <w:pStyle w:val="ListBullet"/>
        <w:ind w:left="360"/>
      </w:pPr>
      <w:r>
        <w:rPr>
          <w:rFonts w:ascii="Calibri" w:hAnsi="Calibri"/>
          <w:b/>
        </w:rPr>
        <w:t>Cleared Facility:</w:t>
      </w:r>
      <w:r>
        <w:rPr>
          <w:rFonts w:ascii="Calibri" w:hAnsi="Calibri"/>
        </w:rPr>
        <w:t xml:space="preserve"> Top Secret</w:t>
      </w:r>
    </w:p>
    <w:p>
      <w:pPr>
        <w:pStyle w:val="ListBullet"/>
        <w:ind w:left="360"/>
      </w:pPr>
      <w:r>
        <w:rPr>
          <w:rFonts w:ascii="Calibri" w:hAnsi="Calibri"/>
          <w:b/>
        </w:rPr>
        <w:t>POC:</w:t>
      </w:r>
      <w:r>
        <w:rPr>
          <w:rFonts w:ascii="Calibri" w:hAnsi="Calibri"/>
        </w:rPr>
        <w:t xml:space="preserve"> Kendrick Faison, President — kendrick@spatialgisservices.com — 301-442-3914</w:t>
      </w:r>
    </w:p>
    <w:p>
      <w:pPr>
        <w:pStyle w:val="Heading2"/>
      </w:pPr>
      <w:r>
        <w:t>Fit to the HUD OIG Performance Work Statement</w:t>
      </w:r>
    </w:p>
    <w:p>
      <w:pPr>
        <w:spacing w:before="0" w:after="120"/>
      </w:pPr>
      <w:r>
        <w:rPr>
          <w:rFonts w:ascii="Calibri" w:hAnsi="Calibri"/>
        </w:rPr>
        <w:t>The HUD OIG PWS describes a hosted Data and Investigative Portal for ~225 users across OI, OA/E, OIT, and IDAD, with a Secure API as the integration backbone, strict audit logging, AI transparency, data ownership, evidence preservation, and 99.99% availability. SpatialGIS responds against the substantive technical elements of that PWS.</w:t>
      </w:r>
    </w:p>
    <w:p>
      <w:pPr>
        <w:pStyle w:val="Heading3"/>
      </w:pPr>
      <w:r>
        <w:t>Secure API and Data Integration (PWS 5.2.1)</w:t>
      </w:r>
    </w:p>
    <w:p>
      <w:pPr>
        <w:spacing w:before="0" w:after="120"/>
      </w:pPr>
      <w:r>
        <w:rPr>
          <w:rFonts w:ascii="Calibri" w:hAnsi="Calibri"/>
        </w:rPr>
        <w:t xml:space="preserve">The PWS specifies REST-style API capabilities with full documentation (endpoints, methods, authentication, authorization, rate limits, pagination, error codes, sample requests/responses, change management), role-based access controls, attributable activity, encryption in transit and at rest, audit logging of every API call, and bulk export with provenance preservation. SpatialGIS designs, builds, and operates secure custom APIs under MAS SIN 541511 (Custom Computer Programming) and 518210C (Cloud). Our </w:t>
      </w:r>
      <w:r>
        <w:rPr>
          <w:rFonts w:ascii="Calibri" w:hAnsi="Calibri"/>
          <w:b/>
        </w:rPr>
        <w:t>USTRANSCOM EADE</w:t>
      </w:r>
      <w:r>
        <w:rPr>
          <w:rFonts w:ascii="Calibri" w:hAnsi="Calibri"/>
        </w:rPr>
        <w:t xml:space="preserve"> engagement (subcontract to UNCOMN, contract HTC71126DE116 bridge) covers enterprise architecture and application modernization across classified and unclassified environments aligned to DoD CC SRG and NIST 800-171 / CMMC Level 2. Our </w:t>
      </w:r>
      <w:r>
        <w:rPr>
          <w:rFonts w:ascii="Calibri" w:hAnsi="Calibri"/>
          <w:b/>
        </w:rPr>
        <w:t>DOI Foundation Cloud Hosting Services 2</w:t>
      </w:r>
      <w:r>
        <w:rPr>
          <w:rFonts w:ascii="Calibri" w:hAnsi="Calibri"/>
        </w:rPr>
        <w:t xml:space="preserve"> subcontract to IBM (DOI FCHS2 MA-IDIQ) covers cloud-program-management, integration of support systems, configuration management, requirements management, and FedRAMP advisory work — directly analogous to the FedRAMP-Moderate hosting posture HUD OIG will require.</w:t>
      </w:r>
    </w:p>
    <w:p>
      <w:pPr>
        <w:pStyle w:val="Heading3"/>
      </w:pPr>
      <w:r>
        <w:t>Auditability, Data Lineage, and Investigative Defensibility (PWS 5.2.1, multiple sections)</w:t>
      </w:r>
    </w:p>
    <w:p>
      <w:pPr>
        <w:spacing w:before="0" w:after="120"/>
      </w:pPr>
      <w:r>
        <w:rPr>
          <w:rFonts w:ascii="Calibri" w:hAnsi="Calibri"/>
        </w:rPr>
        <w:t>The PWS requires immutable audit logging, search reproducibility, chain-of-custody preservation for exported records, and SIEM integration. SpatialGIS delivers continuous-monitoring solutions aligned to NIST 800-53 and CMMC controls as part of our Cybersecurity &amp; Zero Trust Advisory service line. Our cloud-engineering practice routinely integrates audit pipelines into Splunk-class SIEMs and supports forensic preservation requirements for investigative workloads.</w:t>
      </w:r>
    </w:p>
    <w:p>
      <w:pPr>
        <w:pStyle w:val="Heading3"/>
      </w:pPr>
      <w:r>
        <w:t>AI / Automated Analytical Transparency (PWS 5.2.1)</w:t>
      </w:r>
    </w:p>
    <w:p>
      <w:pPr>
        <w:spacing w:before="0" w:after="120"/>
      </w:pPr>
      <w:r>
        <w:rPr>
          <w:rFonts w:ascii="Calibri" w:hAnsi="Calibri"/>
        </w:rPr>
        <w:t xml:space="preserve">The PWS requires disclosure of any AI, machine learning, automated scoring, predictive analytics, or algorithmic outputs, with documentation of model purpose, limitations, confidence indicators, and update methodology — and HUD OIG retains override authority. SpatialGIS operates an AI/ML practice anchored by </w:t>
      </w:r>
      <w:r>
        <w:rPr>
          <w:rFonts w:ascii="Calibri" w:hAnsi="Calibri"/>
          <w:b/>
        </w:rPr>
        <w:t>SpatialAir</w:t>
      </w:r>
      <w:r>
        <w:rPr>
          <w:rFonts w:ascii="Calibri" w:hAnsi="Calibri"/>
        </w:rPr>
        <w:t xml:space="preserve"> (our proprietary AI-driven environmental monitoring platform) and applied across GEOINT and decision-support workloads. We are accustomed to model-card style disclosure and override-by-design patterns required for Government oversight contexts.</w:t>
      </w:r>
    </w:p>
    <w:p>
      <w:pPr>
        <w:pStyle w:val="Heading3"/>
      </w:pPr>
      <w:r>
        <w:t>Data Ownership, Transition, and Government Rights</w:t>
      </w:r>
    </w:p>
    <w:p>
      <w:pPr>
        <w:spacing w:before="0" w:after="120"/>
      </w:pPr>
      <w:r>
        <w:rPr>
          <w:rFonts w:ascii="Calibri" w:hAnsi="Calibri"/>
        </w:rPr>
        <w:t>The PWS is explicit that HUD OIG retains all Government data, derived analytical outputs, configurations, and audit records, with non-proprietary export at any time and at end-of-contract. SpatialGIS's commercial terms under GSA MAS conform to this requirement; we have executed similar end-of-contract data-transition obligations under DOI FCHS2 and Navy NAWCAD BPA.</w:t>
      </w:r>
    </w:p>
    <w:p>
      <w:pPr>
        <w:pStyle w:val="Heading3"/>
      </w:pPr>
      <w:r>
        <w:t>Database Sourcing (PWS Section 5.1)</w:t>
      </w:r>
    </w:p>
    <w:p>
      <w:pPr>
        <w:spacing w:before="0" w:after="120"/>
      </w:pPr>
      <w:r>
        <w:rPr>
          <w:rFonts w:ascii="Calibri" w:hAnsi="Calibri"/>
        </w:rPr>
        <w:t>The PWS minimum database list (proper noun, business and personal searches, asset/relationship, geospatial, LPR, court records, etc.) is sourced from commercial data brokers — LexisNexis Accurint, Thomson Reuters CLEAR, TLO, IRB, or equivalent. SpatialGIS does not aggregate these data sources as a primary owner. We anticipate teaming with one or more commercial data-broker partners for the underlying database licensing while SpatialGIS retains responsibility for the hosting environment, secure API layer, integration, audit logging, analytical-toolkit integration, Data Analyst/Data Scientist surge support (PWS 5.4), and overall delivery. This subcontracting intent is disclosed under PWS Subcontractor / Third-Party Transparency requirements.</w:t>
      </w:r>
    </w:p>
    <w:p>
      <w:pPr>
        <w:pStyle w:val="Heading2"/>
      </w:pPr>
      <w:r>
        <w:t>Past Performance Relevance to HUD OIG</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before="40" w:after="40"/>
            </w:pPr>
            <w:r>
              <w:rPr>
                <w:rFonts w:ascii="Calibri" w:hAnsi="Calibri"/>
                <w:b/>
              </w:rPr>
              <w:t>Engagement</w:t>
            </w:r>
          </w:p>
        </w:tc>
        <w:tc>
          <w:tcPr>
            <w:tcW w:type="dxa" w:w="2880"/>
          </w:tcPr>
          <w:p>
            <w:pPr>
              <w:spacing w:before="40" w:after="40"/>
            </w:pPr>
            <w:r>
              <w:rPr>
                <w:rFonts w:ascii="Calibri" w:hAnsi="Calibri"/>
                <w:b/>
              </w:rPr>
              <w:t>Customer / Role</w:t>
            </w:r>
          </w:p>
        </w:tc>
        <w:tc>
          <w:tcPr>
            <w:tcW w:type="dxa" w:w="2880"/>
          </w:tcPr>
          <w:p>
            <w:pPr>
              <w:spacing w:before="40" w:after="40"/>
            </w:pPr>
            <w:r>
              <w:rPr>
                <w:rFonts w:ascii="Calibri" w:hAnsi="Calibri"/>
                <w:b/>
              </w:rPr>
              <w:t>Relevance</w:t>
            </w:r>
          </w:p>
        </w:tc>
      </w:tr>
      <w:tr>
        <w:tc>
          <w:tcPr>
            <w:tcW w:type="dxa" w:w="2880"/>
          </w:tcPr>
          <w:p>
            <w:pPr>
              <w:spacing w:before="40" w:after="40"/>
            </w:pPr>
            <w:r>
              <w:rPr>
                <w:rFonts w:ascii="Calibri" w:hAnsi="Calibri"/>
              </w:rPr>
              <w:t>USTRANSCOM EADE</w:t>
            </w:r>
          </w:p>
        </w:tc>
        <w:tc>
          <w:tcPr>
            <w:tcW w:type="dxa" w:w="2880"/>
          </w:tcPr>
          <w:p>
            <w:pPr>
              <w:spacing w:before="40" w:after="40"/>
            </w:pPr>
            <w:r>
              <w:rPr>
                <w:rFonts w:ascii="Calibri" w:hAnsi="Calibri"/>
              </w:rPr>
              <w:t>USTRANSCOM via UNCOMN (prime) — sub</w:t>
            </w:r>
          </w:p>
        </w:tc>
        <w:tc>
          <w:tcPr>
            <w:tcW w:type="dxa" w:w="2880"/>
          </w:tcPr>
          <w:p>
            <w:pPr>
              <w:spacing w:before="40" w:after="40"/>
            </w:pPr>
            <w:r>
              <w:rPr>
                <w:rFonts w:ascii="Calibri" w:hAnsi="Calibri"/>
              </w:rPr>
              <w:t>Enterprise architecture, cloud engineering, application modernization in classified and unclassified environments</w:t>
            </w:r>
          </w:p>
        </w:tc>
      </w:tr>
      <w:tr>
        <w:tc>
          <w:tcPr>
            <w:tcW w:type="dxa" w:w="2880"/>
          </w:tcPr>
          <w:p>
            <w:pPr>
              <w:spacing w:before="40" w:after="40"/>
            </w:pPr>
            <w:r>
              <w:rPr>
                <w:rFonts w:ascii="Calibri" w:hAnsi="Calibri"/>
              </w:rPr>
              <w:t>DOI FCHS2</w:t>
            </w:r>
          </w:p>
        </w:tc>
        <w:tc>
          <w:tcPr>
            <w:tcW w:type="dxa" w:w="2880"/>
          </w:tcPr>
          <w:p>
            <w:pPr>
              <w:spacing w:before="40" w:after="40"/>
            </w:pPr>
            <w:r>
              <w:rPr>
                <w:rFonts w:ascii="Calibri" w:hAnsi="Calibri"/>
              </w:rPr>
              <w:t>DOI via IBM (prime) — sub on $2B MA-IDIQ</w:t>
            </w:r>
          </w:p>
        </w:tc>
        <w:tc>
          <w:tcPr>
            <w:tcW w:type="dxa" w:w="2880"/>
          </w:tcPr>
          <w:p>
            <w:pPr>
              <w:spacing w:before="40" w:after="40"/>
            </w:pPr>
            <w:r>
              <w:rPr>
                <w:rFonts w:ascii="Calibri" w:hAnsi="Calibri"/>
              </w:rPr>
              <w:t>Cloud-program management, system integration, FedRAMP advisory across DOI bureau task orders</w:t>
            </w:r>
          </w:p>
        </w:tc>
      </w:tr>
      <w:tr>
        <w:tc>
          <w:tcPr>
            <w:tcW w:type="dxa" w:w="2880"/>
          </w:tcPr>
          <w:p>
            <w:pPr>
              <w:spacing w:before="40" w:after="40"/>
            </w:pPr>
            <w:r>
              <w:rPr>
                <w:rFonts w:ascii="Calibri" w:hAnsi="Calibri"/>
              </w:rPr>
              <w:t>Navy NAWCAD Lakehurst</w:t>
            </w:r>
          </w:p>
        </w:tc>
        <w:tc>
          <w:tcPr>
            <w:tcW w:type="dxa" w:w="2880"/>
          </w:tcPr>
          <w:p>
            <w:pPr>
              <w:spacing w:before="40" w:after="40"/>
            </w:pPr>
            <w:r>
              <w:rPr>
                <w:rFonts w:ascii="Calibri" w:hAnsi="Calibri"/>
              </w:rPr>
              <w:t>U.S. Navy — federal prime, BPA N6833523A0199</w:t>
            </w:r>
          </w:p>
        </w:tc>
        <w:tc>
          <w:tcPr>
            <w:tcW w:type="dxa" w:w="2880"/>
          </w:tcPr>
          <w:p>
            <w:pPr>
              <w:spacing w:before="40" w:after="40"/>
            </w:pPr>
            <w:r>
              <w:rPr>
                <w:rFonts w:ascii="Calibri" w:hAnsi="Calibri"/>
              </w:rPr>
              <w:t>IT and engineering services to NAWCAD; demonstrates SpatialGIS as federal-prime contract holder</w:t>
            </w:r>
          </w:p>
        </w:tc>
      </w:tr>
      <w:tr>
        <w:tc>
          <w:tcPr>
            <w:tcW w:type="dxa" w:w="2880"/>
          </w:tcPr>
          <w:p>
            <w:pPr>
              <w:spacing w:before="40" w:after="40"/>
            </w:pPr>
            <w:r>
              <w:rPr>
                <w:rFonts w:ascii="Calibri" w:hAnsi="Calibri"/>
              </w:rPr>
              <w:t>NGA Janus Geography</w:t>
            </w:r>
          </w:p>
        </w:tc>
        <w:tc>
          <w:tcPr>
            <w:tcW w:type="dxa" w:w="2880"/>
          </w:tcPr>
          <w:p>
            <w:pPr>
              <w:spacing w:before="40" w:after="40"/>
            </w:pPr>
            <w:r>
              <w:rPr>
                <w:rFonts w:ascii="Calibri" w:hAnsi="Calibri"/>
              </w:rPr>
              <w:t>NGA via Hexagon (prime) — sub on HM157518D0011</w:t>
            </w:r>
          </w:p>
        </w:tc>
        <w:tc>
          <w:tcPr>
            <w:tcW w:type="dxa" w:w="2880"/>
          </w:tcPr>
          <w:p>
            <w:pPr>
              <w:spacing w:before="40" w:after="40"/>
            </w:pPr>
            <w:r>
              <w:rPr>
                <w:rFonts w:ascii="Calibri" w:hAnsi="Calibri"/>
              </w:rPr>
              <w:t>Secure geospatial production, cartographic services, data management for analytic missions</w:t>
            </w:r>
          </w:p>
        </w:tc>
      </w:tr>
      <w:tr>
        <w:tc>
          <w:tcPr>
            <w:tcW w:type="dxa" w:w="2880"/>
          </w:tcPr>
          <w:p>
            <w:pPr>
              <w:spacing w:before="40" w:after="40"/>
            </w:pPr>
            <w:r>
              <w:rPr>
                <w:rFonts w:ascii="Calibri" w:hAnsi="Calibri"/>
              </w:rPr>
              <w:t>TitanX (IC customer via cover entity)</w:t>
            </w:r>
          </w:p>
        </w:tc>
        <w:tc>
          <w:tcPr>
            <w:tcW w:type="dxa" w:w="2880"/>
          </w:tcPr>
          <w:p>
            <w:pPr>
              <w:spacing w:before="40" w:after="40"/>
            </w:pPr>
            <w:r>
              <w:rPr>
                <w:rFonts w:ascii="Calibri" w:hAnsi="Calibri"/>
              </w:rPr>
              <w:t>IC customer — sub on Prime 2020-20080600403, TS/SCI cleared work</w:t>
            </w:r>
          </w:p>
        </w:tc>
        <w:tc>
          <w:tcPr>
            <w:tcW w:type="dxa" w:w="2880"/>
          </w:tcPr>
          <w:p>
            <w:pPr>
              <w:spacing w:before="40" w:after="40"/>
            </w:pPr>
            <w:r>
              <w:rPr>
                <w:rFonts w:ascii="Calibri" w:hAnsi="Calibri"/>
              </w:rPr>
              <w:t>Custom computer programming services for IC mission support; investigative-defensible delivery posture</w:t>
            </w:r>
          </w:p>
        </w:tc>
      </w:tr>
    </w:tbl>
    <w:p/>
    <w:p>
      <w:pPr>
        <w:pStyle w:val="Heading2"/>
      </w:pPr>
      <w:r>
        <w:t>Differentiators</w:t>
      </w:r>
    </w:p>
    <w:p>
      <w:pPr>
        <w:pStyle w:val="ListBullet"/>
        <w:ind w:left="360"/>
      </w:pPr>
      <w:r>
        <w:rPr>
          <w:rFonts w:ascii="Calibri" w:hAnsi="Calibri"/>
          <w:b/>
        </w:rPr>
        <w:t>Mission fluency from inside the customer's chair.</w:t>
      </w:r>
      <w:r>
        <w:rPr>
          <w:rFonts w:ascii="Calibri" w:hAnsi="Calibri"/>
        </w:rPr>
        <w:t xml:space="preserve"> SpatialGIS leadership built FEMA and DHS/FPS GIS and data programs as federal employees before founding the company. Investigative and oversight-mission context is native.</w:t>
      </w:r>
    </w:p>
    <w:p>
      <w:pPr>
        <w:pStyle w:val="ListBullet"/>
        <w:ind w:left="360"/>
      </w:pPr>
      <w:r>
        <w:rPr>
          <w:rFonts w:ascii="Calibri" w:hAnsi="Calibri"/>
          <w:b/>
        </w:rPr>
        <w:t>Cleared workforce pipeline anchored at Fayetteville State University.</w:t>
      </w:r>
      <w:r>
        <w:rPr>
          <w:rFonts w:ascii="Calibri" w:hAnsi="Calibri"/>
        </w:rPr>
        <w:t xml:space="preserve"> Formal MOU establishing the first Black-owned-company lab co-located at an HBCU; pipeline includes TS-eligible candidates.</w:t>
      </w:r>
    </w:p>
    <w:p>
      <w:pPr>
        <w:pStyle w:val="ListBullet"/>
        <w:ind w:left="360"/>
      </w:pPr>
      <w:r>
        <w:rPr>
          <w:rFonts w:ascii="Calibri" w:hAnsi="Calibri"/>
          <w:b/>
        </w:rPr>
        <w:t>AI-augmented single-team delivery.</w:t>
      </w:r>
      <w:r>
        <w:rPr>
          <w:rFonts w:ascii="Calibri" w:hAnsi="Calibri"/>
        </w:rPr>
        <w:t xml:space="preserve"> GEOINT, secure cloud, DevSecOps, and AI/ML are delivered by a single accountable team rather than a stitched-together prime/sub stack.</w:t>
      </w:r>
    </w:p>
    <w:p>
      <w:pPr>
        <w:pStyle w:val="Heading2"/>
      </w:pPr>
      <w:r>
        <w:t>Business Information</w:t>
      </w:r>
    </w:p>
    <w:p>
      <w:pPr>
        <w:pStyle w:val="ListBullet"/>
        <w:ind w:left="360"/>
      </w:pPr>
      <w:r>
        <w:rPr>
          <w:rFonts w:ascii="Calibri" w:hAnsi="Calibri"/>
          <w:b/>
        </w:rPr>
        <w:t>Business Size:</w:t>
      </w:r>
      <w:r>
        <w:rPr>
          <w:rFonts w:ascii="Calibri" w:hAnsi="Calibri"/>
        </w:rPr>
        <w:t xml:space="preserve"> Small business under NAICS 518210, 541370, 541511, 541519, 541611, 541618, 541690, 541990</w:t>
      </w:r>
    </w:p>
    <w:p>
      <w:pPr>
        <w:pStyle w:val="ListBullet"/>
        <w:ind w:left="360"/>
      </w:pPr>
      <w:r>
        <w:rPr>
          <w:rFonts w:ascii="Calibri" w:hAnsi="Calibri"/>
          <w:b/>
        </w:rPr>
        <w:t>Socioeconomic (formal certifications recognized on GSA contract):</w:t>
      </w:r>
      <w:r>
        <w:rPr>
          <w:rFonts w:ascii="Calibri" w:hAnsi="Calibri"/>
        </w:rPr>
        <w:t xml:space="preserve"> N/A (SpatialGIS holds no SBA-issued formal certification — SDB is self-certified, not SBA-certified)</w:t>
      </w:r>
    </w:p>
    <w:p>
      <w:pPr>
        <w:pStyle w:val="ListBullet"/>
        <w:ind w:left="360"/>
      </w:pPr>
      <w:r>
        <w:rPr>
          <w:rFonts w:ascii="Calibri" w:hAnsi="Calibri"/>
          <w:b/>
        </w:rPr>
        <w:t>Socioeconomic (narrative — for COR information):</w:t>
      </w:r>
      <w:r>
        <w:rPr>
          <w:rFonts w:ascii="Calibri" w:hAnsi="Calibri"/>
        </w:rPr>
        <w:t xml:space="preserve"> Self-Certified Small Disadvantaged Business; Minority-Owned Business; Black American Owned; DOT-Certified DBE</w:t>
      </w:r>
    </w:p>
    <w:p>
      <w:pPr>
        <w:pStyle w:val="ListBullet"/>
        <w:ind w:left="360"/>
      </w:pPr>
      <w:r>
        <w:rPr>
          <w:rFonts w:ascii="Calibri" w:hAnsi="Calibri"/>
          <w:b/>
        </w:rPr>
        <w:t>NAICS for this requirement:</w:t>
      </w:r>
      <w:r>
        <w:rPr>
          <w:rFonts w:ascii="Calibri" w:hAnsi="Calibri"/>
        </w:rPr>
        <w:t xml:space="preserve"> 518210 (Computing Infrastructure / Data Processing / Web Hosting)</w:t>
      </w:r>
    </w:p>
    <w:p>
      <w:pPr>
        <w:pStyle w:val="ListBullet"/>
        <w:ind w:left="360"/>
      </w:pPr>
      <w:r>
        <w:rPr>
          <w:rFonts w:ascii="Calibri" w:hAnsi="Calibri"/>
          <w:b/>
        </w:rPr>
        <w:t>GSA SINs applicable:</w:t>
      </w:r>
      <w:r>
        <w:rPr>
          <w:rFonts w:ascii="Calibri" w:hAnsi="Calibri"/>
        </w:rPr>
        <w:t xml:space="preserve"> 518210C (Cloud) and 54151S (IT Professional Services)</w:t>
      </w:r>
    </w:p>
    <w:p>
      <w:pPr>
        <w:pStyle w:val="ListBullet"/>
        <w:ind w:left="360"/>
      </w:pPr>
      <w:r>
        <w:rPr>
          <w:rFonts w:ascii="Calibri" w:hAnsi="Calibri"/>
          <w:b/>
        </w:rPr>
        <w:t>Commercial Item (FAR Part 12):</w:t>
      </w:r>
      <w:r>
        <w:rPr>
          <w:rFonts w:ascii="Calibri" w:hAnsi="Calibri"/>
        </w:rPr>
        <w:t xml:space="preserve"> Yes</w:t>
      </w:r>
    </w:p>
    <w:p>
      <w:pPr>
        <w:pStyle w:val="ListBullet"/>
        <w:ind w:left="360"/>
      </w:pPr>
      <w:r>
        <w:rPr>
          <w:rFonts w:ascii="Calibri" w:hAnsi="Calibri"/>
          <w:b/>
        </w:rPr>
        <w:t>Lead Time from Award to Implementation:</w:t>
      </w:r>
      <w:r>
        <w:rPr>
          <w:rFonts w:ascii="Calibri" w:hAnsi="Calibri"/>
        </w:rPr>
        <w:t xml:space="preserve"> Aligned with PWS — Implementation Plan within 15 days, final plan within 30 days, ongoing delivery thereafter</w:t>
      </w:r>
    </w:p>
    <w:p>
      <w:pPr>
        <w:pStyle w:val="ListBullet"/>
        <w:ind w:left="360"/>
      </w:pPr>
      <w:r>
        <w:rPr>
          <w:rFonts w:ascii="Calibri" w:hAnsi="Calibri"/>
          <w:b/>
        </w:rPr>
        <w:t>Subcontracting Intent:</w:t>
      </w:r>
      <w:r>
        <w:rPr>
          <w:rFonts w:ascii="Calibri" w:hAnsi="Calibri"/>
        </w:rPr>
        <w:t xml:space="preserve"> Data-broker partner(s) for underlying database licensing per PWS Section 5.1; SpatialGIS prime on the secure hosting / API / integration / analyst-support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