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SpatialGIS Capability Statement</w:t>
      </w:r>
    </w:p>
    <w:p>
      <w:pPr>
        <w:spacing w:before="0" w:after="120"/>
      </w:pPr>
      <w:r>
        <w:rPr>
          <w:rFonts w:ascii="Calibri" w:hAnsi="Calibri"/>
          <w:b/>
        </w:rPr>
        <w:t>OSW NGA — Data Scientist, UI/UX Designer, and Mission Advocacy Specialists</w:t>
      </w:r>
    </w:p>
    <w:p>
      <w:pPr>
        <w:spacing w:before="0" w:after="120"/>
      </w:pPr>
      <w:r>
        <w:rPr>
          <w:rFonts w:ascii="Calibri" w:hAnsi="Calibri"/>
          <w:b/>
        </w:rPr>
        <w:t>MRAS RFI:</w:t>
      </w:r>
      <w:r>
        <w:rPr>
          <w:rFonts w:ascii="Calibri" w:hAnsi="Calibri"/>
        </w:rPr>
        <w:t xml:space="preserve"> SV_8A4c5Pda1YJI7KS | </w:t>
      </w:r>
      <w:r>
        <w:rPr>
          <w:rFonts w:ascii="Calibri" w:hAnsi="Calibri"/>
          <w:b/>
        </w:rPr>
        <w:t>Response Date:</w:t>
      </w:r>
      <w:r>
        <w:rPr>
          <w:rFonts w:ascii="Calibri" w:hAnsi="Calibri"/>
        </w:rPr>
        <w:t xml:space="preserve"> 2026-05-27 | </w:t>
      </w:r>
      <w:r>
        <w:rPr>
          <w:rFonts w:ascii="Calibri" w:hAnsi="Calibri"/>
          <w:b/>
        </w:rPr>
        <w:t>POC:</w:t>
      </w:r>
      <w:r>
        <w:rPr>
          <w:rFonts w:ascii="Calibri" w:hAnsi="Calibri"/>
        </w:rPr>
        <w:t xml:space="preserve"> Kendrick Faison</w:t>
      </w:r>
    </w:p>
    <w:p>
      <w:pPr>
        <w:pStyle w:val="Heading2"/>
      </w:pPr>
      <w:r>
        <w:t>1.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Legal Name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SpatialGIS, LLC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UEI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XE8LEMK77DC9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CAGE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7RFJ7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GSA MAS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47QTCA24D00DS (Active) — SINs 541370GIS, 518210C, 54151S, 541515, 541611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Facility Clearance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Top Secret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Socioeconomic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SBA-Certified Small Disadvantaged Business; Minority-Owned; Black American Owned; DOT-Certified DBE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POC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Kendrick Faison, President — kendrick@spatialgisservices.com — 301-442-3914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HQ / Operations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Fayetteville, NC (HQ) / Odenton, MD</w:t>
            </w:r>
          </w:p>
        </w:tc>
      </w:tr>
    </w:tbl>
    <w:p/>
    <w:p>
      <w:pPr>
        <w:pStyle w:val="Heading2"/>
      </w:pPr>
      <w:r>
        <w:t>2. Fit to Requirement</w:t>
      </w:r>
    </w:p>
    <w:p>
      <w:pPr>
        <w:spacing w:before="0" w:after="120"/>
      </w:pPr>
      <w:r>
        <w:rPr>
          <w:rFonts w:ascii="Calibri" w:hAnsi="Calibri"/>
        </w:rPr>
        <w:t>NGA PEO GEOINT Ground Office requires Data Scientist, UI/UX Designer, and Mission Advocacy Specialist labor categories supporting automated GEOINT collection. Place of performance: Springfield, VA and NGA Denver, 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Required Labor Category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SpatialGIS Capability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Anchoring Prior Art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Data Scientist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AI/ML practice; predictive analytics; computer vision; SpatialAir AI-driven environmental monitoring platform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TitanX (IC customer, NAICS 541511, TS/SCI custom programming); SpatialAir production deployment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UI/UX Designer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Human-centered design for federal mission applications and citizen-facing systems; graphic design (NAICS 541430)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Salesforce platform engineering for DHS case management and citizen-facing systems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Mission Advocacy Specialist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Federal mission fluency through former federal practitioners (DHS/FPS, FEMA)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DHS/FPS Data Management Support; FEMA DSA/NIMAT GIS Support (former federal experience)</w:t>
            </w:r>
          </w:p>
        </w:tc>
      </w:tr>
    </w:tbl>
    <w:p/>
    <w:p>
      <w:pPr>
        <w:pStyle w:val="Heading2"/>
      </w:pPr>
      <w:r>
        <w:t>3. NGA-Specific Past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Contract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Role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Vehicle / NAICS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Relevance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NGA Janus Geography / GEOINT Production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Subcontractor under Hexagon prime, Contract HM157518D0011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FFP subcontract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Direct NGA GEOINT production, cartographic services, geospatial data management for analytic missions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USTRANSCOM EADE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Subcontractor under UNCOMN prime, Contract HTC71126DE116 (bridge)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T&amp;M; OASIS+ T&amp;E + M&amp;A Relevant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Enterprise architecture, cloud engineering, application modernization in classified environments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TitanX (IC customer)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Subcontractor under Prime 2020-20080600403; Subcontract S001555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T&amp;M, NAICS 541511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TS/SCI custom computer programming for IC mission support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USACE GRIDS IV (AGC)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Subcontractor under OM Group prime; $499M IDIQ ceiling (2025-2030)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IDIQ task-order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Geospatial research, integration, development and support for Army Geospatial Enterprise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U.S. Navy NAWCAD Lakehurst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Federal prime, BPA N6833523A0199 ($5M ceiling)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BPA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IT and engineering services to NAWCAD</w:t>
            </w:r>
          </w:p>
        </w:tc>
      </w:tr>
    </w:tbl>
    <w:p/>
    <w:p>
      <w:pPr>
        <w:pStyle w:val="Heading2"/>
      </w:pPr>
      <w:r>
        <w:t>4. Cleared Workforce Pipeline</w:t>
      </w:r>
    </w:p>
    <w:p>
      <w:pPr>
        <w:pStyle w:val="ListBullet"/>
        <w:ind w:left="360"/>
      </w:pPr>
      <w:r>
        <w:rPr>
          <w:rFonts w:ascii="Calibri" w:hAnsi="Calibri"/>
        </w:rPr>
        <w:t>Top Secret facility clearance (cleared facility, not solely individual clearances)</w:t>
      </w:r>
    </w:p>
    <w:p>
      <w:pPr>
        <w:pStyle w:val="ListBullet"/>
        <w:ind w:left="360"/>
      </w:pPr>
      <w:r>
        <w:rPr>
          <w:rFonts w:ascii="Calibri" w:hAnsi="Calibri"/>
        </w:rPr>
        <w:t>Formal MOU with Fayetteville State University — first Black-owned-company lab co-located at an HBCU — pipeline includes TS-eligible candidates</w:t>
      </w:r>
    </w:p>
    <w:p>
      <w:pPr>
        <w:pStyle w:val="ListBullet"/>
        <w:ind w:left="360"/>
      </w:pPr>
      <w:r>
        <w:rPr>
          <w:rFonts w:ascii="Calibri" w:hAnsi="Calibri"/>
        </w:rPr>
        <w:t>ERDC Geospatial Research Laboratory tech-transfer engagement via TechLink (Bozeman, MT) for Dr. Richard Massaro's patented rapid 2D/3D terrain mapping algorithm (real-time photogrammetric conversion of FMV to 2D/3D geospatial imagery; field-tested by 101st Airborne, Fort Campbell)</w:t>
      </w:r>
    </w:p>
    <w:p>
      <w:pPr>
        <w:pStyle w:val="Heading2"/>
      </w:pPr>
      <w:r>
        <w:t>5. Business Information for MRAS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Business Size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Small business under NAICS 541370, 541511, 541519, 541611, 541618, 541690, 541713, 541990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Socioeconomic indicator (GSA MRAS key)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d — SBA Certified Small Disadvantaged business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NAICS for this requirement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541511 (Custom Computer Programming) or 541519 (Other Computer Services) — selection adjusted per Qualtrics survey choices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GSA SINs applicable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54151S (IT Professional Services); 518210C (Cloud)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Commercial Item (FAR Part 12)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Yes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Lead Time from Award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30 days or less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Subcontracting Intent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alibri" w:hAnsi="Calibri"/>
              </w:rPr>
              <w:t>None as prime; teaming opportunity-specific at task-order level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