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SpatialGIS Capability Statement</w:t>
      </w:r>
    </w:p>
    <w:p>
      <w:pPr>
        <w:spacing w:before="0" w:after="120"/>
      </w:pPr>
      <w:r>
        <w:rPr>
          <w:rFonts w:ascii="Calibri" w:hAnsi="Calibri"/>
          <w:b/>
        </w:rPr>
        <w:t>OSW WHS — Data Analytics Support Services (DoW OIG, Mark Center, Alexandria VA)</w:t>
      </w:r>
    </w:p>
    <w:p>
      <w:pPr>
        <w:spacing w:before="0" w:after="120"/>
      </w:pPr>
      <w:r>
        <w:rPr>
          <w:rFonts w:ascii="Calibri" w:hAnsi="Calibri"/>
          <w:b/>
        </w:rPr>
        <w:t>MRAS RFI:</w:t>
      </w:r>
      <w:r>
        <w:rPr>
          <w:rFonts w:ascii="Calibri" w:hAnsi="Calibri"/>
        </w:rPr>
        <w:t xml:space="preserve"> SV_0pL6J3IAOIyvL7g | </w:t>
      </w:r>
      <w:r>
        <w:rPr>
          <w:rFonts w:ascii="Calibri" w:hAnsi="Calibri"/>
          <w:b/>
        </w:rPr>
        <w:t>Response Date:</w:t>
      </w:r>
      <w:r>
        <w:rPr>
          <w:rFonts w:ascii="Calibri" w:hAnsi="Calibri"/>
        </w:rPr>
        <w:t xml:space="preserve"> 2026-05-27 | </w:t>
      </w:r>
      <w:r>
        <w:rPr>
          <w:rFonts w:ascii="Calibri" w:hAnsi="Calibri"/>
          <w:b/>
        </w:rPr>
        <w:t>POC:</w:t>
      </w:r>
      <w:r>
        <w:rPr>
          <w:rFonts w:ascii="Calibri" w:hAnsi="Calibri"/>
        </w:rPr>
        <w:t xml:space="preserve"> Kendrick Faison</w:t>
      </w:r>
    </w:p>
    <w:p>
      <w:pPr>
        <w:pStyle w:val="Heading2"/>
      </w:pPr>
      <w:r>
        <w:t>Company Snapshot</w:t>
      </w:r>
    </w:p>
    <w:p>
      <w:pPr>
        <w:spacing w:before="0" w:after="120"/>
      </w:pPr>
      <w:r>
        <w:rPr>
          <w:rFonts w:ascii="Calibri" w:hAnsi="Calibri"/>
        </w:rPr>
        <w:t>SpatialGIS, LLC is a Top Secret–cleared, Black-owned, SBA-Certified Small Disadvantaged Business headquartered in Fayetteville, NC with operations in Odenton, MD. We deliver mission-grade GEOINT, secure cloud, AI-enabled IT modernization, and enterprise data analytics to federal defense, intelligence, and homeland security customers. GSA MAS 47QTCA24D00DS active; Navy NAWCAD Lakehurst BPA as federal prime.</w:t>
      </w:r>
    </w:p>
    <w:p>
      <w:pPr>
        <w:pStyle w:val="ListBullet"/>
        <w:ind w:left="360"/>
      </w:pPr>
      <w:r>
        <w:rPr>
          <w:rFonts w:ascii="Calibri" w:hAnsi="Calibri"/>
          <w:b/>
        </w:rPr>
        <w:t>Legal Name:</w:t>
      </w:r>
      <w:r>
        <w:rPr>
          <w:rFonts w:ascii="Calibri" w:hAnsi="Calibri"/>
        </w:rPr>
        <w:t xml:space="preserve"> SpatialGIS, LLC | </w:t>
      </w:r>
      <w:r>
        <w:rPr>
          <w:rFonts w:ascii="Calibri" w:hAnsi="Calibri"/>
          <w:b/>
        </w:rPr>
        <w:t>UEI:</w:t>
      </w:r>
      <w:r>
        <w:rPr>
          <w:rFonts w:ascii="Calibri" w:hAnsi="Calibri"/>
        </w:rPr>
        <w:t xml:space="preserve"> XE8LEMK77DC9 | </w:t>
      </w:r>
      <w:r>
        <w:rPr>
          <w:rFonts w:ascii="Calibri" w:hAnsi="Calibri"/>
          <w:b/>
        </w:rPr>
        <w:t>CAGE:</w:t>
      </w:r>
      <w:r>
        <w:rPr>
          <w:rFonts w:ascii="Calibri" w:hAnsi="Calibri"/>
        </w:rPr>
        <w:t xml:space="preserve"> 7RFJ7</w:t>
      </w:r>
    </w:p>
    <w:p>
      <w:pPr>
        <w:pStyle w:val="ListBullet"/>
        <w:ind w:left="360"/>
      </w:pPr>
      <w:r>
        <w:rPr>
          <w:rFonts w:ascii="Calibri" w:hAnsi="Calibri"/>
          <w:b/>
        </w:rPr>
        <w:t>GSA MAS:</w:t>
      </w:r>
      <w:r>
        <w:rPr>
          <w:rFonts w:ascii="Calibri" w:hAnsi="Calibri"/>
        </w:rPr>
        <w:t xml:space="preserve"> 47QTCA24D00DS — SINs 54151S and 518210C applicable</w:t>
      </w:r>
    </w:p>
    <w:p>
      <w:pPr>
        <w:pStyle w:val="ListBullet"/>
        <w:ind w:left="360"/>
      </w:pPr>
      <w:r>
        <w:rPr>
          <w:rFonts w:ascii="Calibri" w:hAnsi="Calibri"/>
          <w:b/>
        </w:rPr>
        <w:t>Cleared Facility:</w:t>
      </w:r>
      <w:r>
        <w:rPr>
          <w:rFonts w:ascii="Calibri" w:hAnsi="Calibri"/>
        </w:rPr>
        <w:t xml:space="preserve"> Top Secret (subsumes the Secret FCL required by the PWS)</w:t>
      </w:r>
    </w:p>
    <w:p>
      <w:pPr>
        <w:pStyle w:val="ListBullet"/>
        <w:ind w:left="360"/>
      </w:pPr>
      <w:r>
        <w:rPr>
          <w:rFonts w:ascii="Calibri" w:hAnsi="Calibri"/>
          <w:b/>
        </w:rPr>
        <w:t>POC:</w:t>
      </w:r>
      <w:r>
        <w:rPr>
          <w:rFonts w:ascii="Calibri" w:hAnsi="Calibri"/>
        </w:rPr>
        <w:t xml:space="preserve"> Kendrick Faison, President — kendrick@spatialgisservices.com — 301-442-3914</w:t>
      </w:r>
    </w:p>
    <w:p>
      <w:pPr>
        <w:pStyle w:val="Heading2"/>
      </w:pPr>
      <w:r>
        <w:t>Fit to the DoW OIG Data Analytics PWS</w:t>
      </w:r>
    </w:p>
    <w:p>
      <w:pPr>
        <w:spacing w:before="0" w:after="120"/>
      </w:pPr>
      <w:r>
        <w:rPr>
          <w:rFonts w:ascii="Calibri" w:hAnsi="Calibri"/>
        </w:rPr>
        <w:t>The PWS calls for an integrated team across four domains — project management, data science, business intelligence, and data engineering — supporting the DoW OIG Analytics Team within Mission Support, on a 1-year base + 4 option year FFP, on-site at the Mark Center.</w:t>
      </w:r>
    </w:p>
    <w:p>
      <w:pPr>
        <w:pStyle w:val="Heading3"/>
      </w:pPr>
      <w:r>
        <w:t>Project Management</w:t>
      </w:r>
    </w:p>
    <w:p>
      <w:pPr>
        <w:spacing w:before="0" w:after="120"/>
      </w:pPr>
      <w:r>
        <w:rPr>
          <w:rFonts w:ascii="Calibri" w:hAnsi="Calibri"/>
        </w:rPr>
        <w:t xml:space="preserve">PWS Section 5.1 — Senior PMs with bachelor's (preferred master's) in IT/IS/Business Admin/Data Analytics or related field. SpatialGIS Management &amp; Acquisition Consulting under MAS SIN 541611 covers program management, scheduling, risk management, and status reporting. Our </w:t>
      </w:r>
      <w:r>
        <w:rPr>
          <w:rFonts w:ascii="Calibri" w:hAnsi="Calibri"/>
          <w:b/>
        </w:rPr>
        <w:t>USTRANSCOM EADE</w:t>
      </w:r>
      <w:r>
        <w:rPr>
          <w:rFonts w:ascii="Calibri" w:hAnsi="Calibri"/>
        </w:rPr>
        <w:t xml:space="preserve"> delivery (subcontract to UNCOMN on HTC71126DE116) anchors program management for enterprise data and architecture engagements; our </w:t>
      </w:r>
      <w:r>
        <w:rPr>
          <w:rFonts w:ascii="Calibri" w:hAnsi="Calibri"/>
          <w:b/>
        </w:rPr>
        <w:t>DOI FCHS2</w:t>
      </w:r>
      <w:r>
        <w:rPr>
          <w:rFonts w:ascii="Calibri" w:hAnsi="Calibri"/>
        </w:rPr>
        <w:t xml:space="preserve"> subcontract to IBM covers cloud-program management, configuration management, and requirements management on a $2B IDIQ.</w:t>
      </w:r>
    </w:p>
    <w:p>
      <w:pPr>
        <w:pStyle w:val="Heading3"/>
      </w:pPr>
      <w:r>
        <w:t>Data Science</w:t>
      </w:r>
    </w:p>
    <w:p>
      <w:pPr>
        <w:spacing w:before="0" w:after="120"/>
      </w:pPr>
      <w:r>
        <w:rPr>
          <w:rFonts w:ascii="Calibri" w:hAnsi="Calibri"/>
        </w:rPr>
        <w:t xml:space="preserve">The PWS requires data modeling, statistical analysis, predictive analytics, and machine learning. SpatialGIS's AI/ML practice is anchored by </w:t>
      </w:r>
      <w:r>
        <w:rPr>
          <w:rFonts w:ascii="Calibri" w:hAnsi="Calibri"/>
          <w:b/>
        </w:rPr>
        <w:t>SpatialAir</w:t>
      </w:r>
      <w:r>
        <w:rPr>
          <w:rFonts w:ascii="Calibri" w:hAnsi="Calibri"/>
        </w:rPr>
        <w:t>, our proprietary AI-driven environmental monitoring platform, with applied delivery across GEOINT, logistics, and decision-support data. Our cleared-workforce pipeline includes data science and ML practitioners brought in via the Fayetteville State University HBCU MOU.</w:t>
      </w:r>
    </w:p>
    <w:p>
      <w:pPr>
        <w:pStyle w:val="Heading3"/>
      </w:pPr>
      <w:r>
        <w:t>Business Intelligence</w:t>
      </w:r>
    </w:p>
    <w:p>
      <w:pPr>
        <w:spacing w:before="0" w:after="120"/>
      </w:pPr>
      <w:r>
        <w:rPr>
          <w:rFonts w:ascii="Calibri" w:hAnsi="Calibri"/>
        </w:rPr>
        <w:t>Dashboards, reports, and data visualizations to support decision-making. SpatialGIS's Data Management &amp; Analytics Services line covers data engineering, governance, master data management, and analytics platform implementation. Power BI, Tableau, and Splunk dashboard delivery patterns from USTRANSCOM EADE and TitanX prior art transfer directly.</w:t>
      </w:r>
    </w:p>
    <w:p>
      <w:pPr>
        <w:pStyle w:val="Heading3"/>
      </w:pPr>
      <w:r>
        <w:t>Data Engineering</w:t>
      </w:r>
    </w:p>
    <w:p>
      <w:pPr>
        <w:spacing w:before="0" w:after="120"/>
      </w:pPr>
      <w:r>
        <w:rPr>
          <w:rFonts w:ascii="Calibri" w:hAnsi="Calibri"/>
        </w:rPr>
        <w:t xml:space="preserve">Pipeline development, integration, transformation, and optimization. SpatialGIS's DevSecOps practice includes ETL pipeline design, integration patterns, and platform optimization aligned to DoD CC SRG and NIST 800-171 / CMMC Level 2. Our </w:t>
      </w:r>
      <w:r>
        <w:rPr>
          <w:rFonts w:ascii="Calibri" w:hAnsi="Calibri"/>
          <w:b/>
        </w:rPr>
        <w:t>TitanX</w:t>
      </w:r>
      <w:r>
        <w:rPr>
          <w:rFonts w:ascii="Calibri" w:hAnsi="Calibri"/>
        </w:rPr>
        <w:t xml:space="preserve"> subcontract (TS/SCI work for an IC customer on Prime 2020-20080600403, NAICS 541511) is direct prior art.</w:t>
      </w:r>
    </w:p>
    <w:p>
      <w:pPr>
        <w:pStyle w:val="Heading3"/>
      </w:pPr>
      <w:r>
        <w:t>Security and Clearance Posture</w:t>
      </w:r>
    </w:p>
    <w:p>
      <w:pPr>
        <w:spacing w:before="0" w:after="120"/>
      </w:pPr>
      <w:r>
        <w:rPr>
          <w:rFonts w:ascii="Calibri" w:hAnsi="Calibri"/>
        </w:rPr>
        <w:t>The PWS requires a Secret FCL at award and mandates Cyber Awareness, PII, Anti-Terrorism Level 1, DoW Security Awareness, Counterintelligence, Insider Threat, OPSEC, Unauthorized Disclosure of Classified Information, Introduction to Information Security, and CUI training for all contract personnel. SpatialGIS operates a Top Secret–cleared facility (subsumes Secret); our existing cleared workforce is conditioned on Federal annual training packages.</w:t>
      </w:r>
    </w:p>
    <w:p>
      <w:pPr>
        <w:pStyle w:val="Heading2"/>
      </w:pPr>
      <w:r>
        <w:t>Past Performance Relevance to DoW OIG</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Engagement</w:t>
            </w:r>
          </w:p>
        </w:tc>
        <w:tc>
          <w:tcPr>
            <w:tcW w:type="dxa" w:w="2880"/>
          </w:tcPr>
          <w:p>
            <w:pPr>
              <w:spacing w:before="40" w:after="40"/>
            </w:pPr>
            <w:r>
              <w:rPr>
                <w:rFonts w:ascii="Calibri" w:hAnsi="Calibri"/>
                <w:b/>
              </w:rPr>
              <w:t>Customer / Role</w:t>
            </w:r>
          </w:p>
        </w:tc>
        <w:tc>
          <w:tcPr>
            <w:tcW w:type="dxa" w:w="2880"/>
          </w:tcPr>
          <w:p>
            <w:pPr>
              <w:spacing w:before="40" w:after="40"/>
            </w:pPr>
            <w:r>
              <w:rPr>
                <w:rFonts w:ascii="Calibri" w:hAnsi="Calibri"/>
                <w:b/>
              </w:rPr>
              <w:t>Relevance</w:t>
            </w:r>
          </w:p>
        </w:tc>
      </w:tr>
      <w:tr>
        <w:tc>
          <w:tcPr>
            <w:tcW w:type="dxa" w:w="2880"/>
          </w:tcPr>
          <w:p>
            <w:pPr>
              <w:spacing w:before="40" w:after="40"/>
            </w:pPr>
            <w:r>
              <w:rPr>
                <w:rFonts w:ascii="Calibri" w:hAnsi="Calibri"/>
              </w:rPr>
              <w:t>USTRANSCOM EADE</w:t>
            </w:r>
          </w:p>
        </w:tc>
        <w:tc>
          <w:tcPr>
            <w:tcW w:type="dxa" w:w="2880"/>
          </w:tcPr>
          <w:p>
            <w:pPr>
              <w:spacing w:before="40" w:after="40"/>
            </w:pPr>
            <w:r>
              <w:rPr>
                <w:rFonts w:ascii="Calibri" w:hAnsi="Calibri"/>
              </w:rPr>
              <w:t>USTRANSCOM via UNCOMN (prime) — sub</w:t>
            </w:r>
          </w:p>
        </w:tc>
        <w:tc>
          <w:tcPr>
            <w:tcW w:type="dxa" w:w="2880"/>
          </w:tcPr>
          <w:p>
            <w:pPr>
              <w:spacing w:before="40" w:after="40"/>
            </w:pPr>
            <w:r>
              <w:rPr>
                <w:rFonts w:ascii="Calibri" w:hAnsi="Calibri"/>
              </w:rPr>
              <w:t>Enterprise data + cloud + app modernization; T&amp;E + M&amp;A Relevant per OASIS+</w:t>
            </w:r>
          </w:p>
        </w:tc>
      </w:tr>
      <w:tr>
        <w:tc>
          <w:tcPr>
            <w:tcW w:type="dxa" w:w="2880"/>
          </w:tcPr>
          <w:p>
            <w:pPr>
              <w:spacing w:before="40" w:after="40"/>
            </w:pPr>
            <w:r>
              <w:rPr>
                <w:rFonts w:ascii="Calibri" w:hAnsi="Calibri"/>
              </w:rPr>
              <w:t>DOI FCHS2</w:t>
            </w:r>
          </w:p>
        </w:tc>
        <w:tc>
          <w:tcPr>
            <w:tcW w:type="dxa" w:w="2880"/>
          </w:tcPr>
          <w:p>
            <w:pPr>
              <w:spacing w:before="40" w:after="40"/>
            </w:pPr>
            <w:r>
              <w:rPr>
                <w:rFonts w:ascii="Calibri" w:hAnsi="Calibri"/>
              </w:rPr>
              <w:t>DOI via IBM (prime) — sub on $2B MA-IDIQ</w:t>
            </w:r>
          </w:p>
        </w:tc>
        <w:tc>
          <w:tcPr>
            <w:tcW w:type="dxa" w:w="2880"/>
          </w:tcPr>
          <w:p>
            <w:pPr>
              <w:spacing w:before="40" w:after="40"/>
            </w:pPr>
            <w:r>
              <w:rPr>
                <w:rFonts w:ascii="Calibri" w:hAnsi="Calibri"/>
              </w:rPr>
              <w:t>Cloud-program management, integration, FedRAMP advisory</w:t>
            </w:r>
          </w:p>
        </w:tc>
      </w:tr>
      <w:tr>
        <w:tc>
          <w:tcPr>
            <w:tcW w:type="dxa" w:w="2880"/>
          </w:tcPr>
          <w:p>
            <w:pPr>
              <w:spacing w:before="40" w:after="40"/>
            </w:pPr>
            <w:r>
              <w:rPr>
                <w:rFonts w:ascii="Calibri" w:hAnsi="Calibri"/>
              </w:rPr>
              <w:t>TitanX (IC)</w:t>
            </w:r>
          </w:p>
        </w:tc>
        <w:tc>
          <w:tcPr>
            <w:tcW w:type="dxa" w:w="2880"/>
          </w:tcPr>
          <w:p>
            <w:pPr>
              <w:spacing w:before="40" w:after="40"/>
            </w:pPr>
            <w:r>
              <w:rPr>
                <w:rFonts w:ascii="Calibri" w:hAnsi="Calibri"/>
              </w:rPr>
              <w:t>IC customer — sub on Prime 2020-20080600403, NAICS 541511</w:t>
            </w:r>
          </w:p>
        </w:tc>
        <w:tc>
          <w:tcPr>
            <w:tcW w:type="dxa" w:w="2880"/>
          </w:tcPr>
          <w:p>
            <w:pPr>
              <w:spacing w:before="40" w:after="40"/>
            </w:pPr>
            <w:r>
              <w:rPr>
                <w:rFonts w:ascii="Calibri" w:hAnsi="Calibri"/>
              </w:rPr>
              <w:t>TS/SCI custom programming, DevSecOps for IC mission support</w:t>
            </w:r>
          </w:p>
        </w:tc>
      </w:tr>
      <w:tr>
        <w:tc>
          <w:tcPr>
            <w:tcW w:type="dxa" w:w="2880"/>
          </w:tcPr>
          <w:p>
            <w:pPr>
              <w:spacing w:before="40" w:after="40"/>
            </w:pPr>
            <w:r>
              <w:rPr>
                <w:rFonts w:ascii="Calibri" w:hAnsi="Calibri"/>
              </w:rPr>
              <w:t>NGA Janus Geography</w:t>
            </w:r>
          </w:p>
        </w:tc>
        <w:tc>
          <w:tcPr>
            <w:tcW w:type="dxa" w:w="2880"/>
          </w:tcPr>
          <w:p>
            <w:pPr>
              <w:spacing w:before="40" w:after="40"/>
            </w:pPr>
            <w:r>
              <w:rPr>
                <w:rFonts w:ascii="Calibri" w:hAnsi="Calibri"/>
              </w:rPr>
              <w:t>NGA via Hexagon — sub on HM157518D0011</w:t>
            </w:r>
          </w:p>
        </w:tc>
        <w:tc>
          <w:tcPr>
            <w:tcW w:type="dxa" w:w="2880"/>
          </w:tcPr>
          <w:p>
            <w:pPr>
              <w:spacing w:before="40" w:after="40"/>
            </w:pPr>
            <w:r>
              <w:rPr>
                <w:rFonts w:ascii="Calibri" w:hAnsi="Calibri"/>
              </w:rPr>
              <w:t>Geospatial production + data management for analytic missions</w:t>
            </w:r>
          </w:p>
        </w:tc>
      </w:tr>
      <w:tr>
        <w:tc>
          <w:tcPr>
            <w:tcW w:type="dxa" w:w="2880"/>
          </w:tcPr>
          <w:p>
            <w:pPr>
              <w:spacing w:before="40" w:after="40"/>
            </w:pPr>
            <w:r>
              <w:rPr>
                <w:rFonts w:ascii="Calibri" w:hAnsi="Calibri"/>
              </w:rPr>
              <w:t>Navy NAWCAD Lakehurst</w:t>
            </w:r>
          </w:p>
        </w:tc>
        <w:tc>
          <w:tcPr>
            <w:tcW w:type="dxa" w:w="2880"/>
          </w:tcPr>
          <w:p>
            <w:pPr>
              <w:spacing w:before="40" w:after="40"/>
            </w:pPr>
            <w:r>
              <w:rPr>
                <w:rFonts w:ascii="Calibri" w:hAnsi="Calibri"/>
              </w:rPr>
              <w:t>U.S. Navy — federal prime, BPA N6833523A0199</w:t>
            </w:r>
          </w:p>
        </w:tc>
        <w:tc>
          <w:tcPr>
            <w:tcW w:type="dxa" w:w="2880"/>
          </w:tcPr>
          <w:p>
            <w:pPr>
              <w:spacing w:before="40" w:after="40"/>
            </w:pPr>
            <w:r>
              <w:rPr>
                <w:rFonts w:ascii="Calibri" w:hAnsi="Calibri"/>
              </w:rPr>
              <w:t>IT and engineering services, federal-prime contract holder</w:t>
            </w:r>
          </w:p>
        </w:tc>
      </w:tr>
    </w:tbl>
    <w:p/>
    <w:p>
      <w:pPr>
        <w:pStyle w:val="Heading2"/>
      </w:pPr>
      <w:r>
        <w:t>Differentiators</w:t>
      </w:r>
    </w:p>
    <w:p>
      <w:pPr>
        <w:pStyle w:val="ListBullet"/>
        <w:ind w:left="360"/>
      </w:pPr>
      <w:r>
        <w:rPr>
          <w:rFonts w:ascii="Calibri" w:hAnsi="Calibri"/>
          <w:b/>
        </w:rPr>
        <w:t>Cleared workforce pipeline at Fayetteville State University HBCU</w:t>
      </w:r>
      <w:r>
        <w:rPr>
          <w:rFonts w:ascii="Calibri" w:hAnsi="Calibri"/>
        </w:rPr>
        <w:t xml:space="preserve"> — formal MOU; the first Black-owned company lab co-located at an HBCU; TS-eligible pipeline.</w:t>
      </w:r>
    </w:p>
    <w:p>
      <w:pPr>
        <w:pStyle w:val="ListBullet"/>
        <w:ind w:left="360"/>
      </w:pPr>
      <w:r>
        <w:rPr>
          <w:rFonts w:ascii="Calibri" w:hAnsi="Calibri"/>
          <w:b/>
        </w:rPr>
        <w:t>Mission fluency from inside federal customer agencies</w:t>
      </w:r>
      <w:r>
        <w:rPr>
          <w:rFonts w:ascii="Calibri" w:hAnsi="Calibri"/>
        </w:rPr>
        <w:t xml:space="preserve"> — SpatialGIS leadership built FEMA and DHS data programs as federal employees before founding the company.</w:t>
      </w:r>
    </w:p>
    <w:p>
      <w:pPr>
        <w:pStyle w:val="ListBullet"/>
        <w:ind w:left="360"/>
      </w:pPr>
      <w:r>
        <w:rPr>
          <w:rFonts w:ascii="Calibri" w:hAnsi="Calibri"/>
          <w:b/>
        </w:rPr>
        <w:t>Single accountable team</w:t>
      </w:r>
      <w:r>
        <w:rPr>
          <w:rFonts w:ascii="Calibri" w:hAnsi="Calibri"/>
        </w:rPr>
        <w:t xml:space="preserve"> — project management, data science, BI, and data engineering delivered by one prime-led team rather than stitched-together prime/sub stack.</w:t>
      </w:r>
    </w:p>
    <w:p>
      <w:pPr>
        <w:pStyle w:val="ListBullet"/>
        <w:ind w:left="360"/>
      </w:pPr>
      <w:r>
        <w:rPr>
          <w:rFonts w:ascii="Calibri" w:hAnsi="Calibri"/>
          <w:b/>
        </w:rPr>
        <w:t>Odenton, MD operations base</w:t>
      </w:r>
      <w:r>
        <w:rPr>
          <w:rFonts w:ascii="Calibri" w:hAnsi="Calibri"/>
        </w:rPr>
        <w:t xml:space="preserve"> — within 30 miles of Mark Center, enabling on-site presence.</w:t>
      </w:r>
    </w:p>
    <w:p>
      <w:pPr>
        <w:pStyle w:val="Heading2"/>
      </w:pPr>
      <w:r>
        <w:t>Business Information</w:t>
      </w:r>
    </w:p>
    <w:p>
      <w:pPr>
        <w:pStyle w:val="ListBullet"/>
        <w:ind w:left="360"/>
      </w:pPr>
      <w:r>
        <w:rPr>
          <w:rFonts w:ascii="Calibri" w:hAnsi="Calibri"/>
          <w:b/>
        </w:rPr>
        <w:t>Business Size:</w:t>
      </w:r>
      <w:r>
        <w:rPr>
          <w:rFonts w:ascii="Calibri" w:hAnsi="Calibri"/>
        </w:rPr>
        <w:t xml:space="preserve"> Small business under NAICS 518210, 541511, 541519, 541611, 541618, 541690, 541990</w:t>
      </w:r>
    </w:p>
    <w:p>
      <w:pPr>
        <w:pStyle w:val="ListBullet"/>
        <w:ind w:left="360"/>
      </w:pPr>
      <w:r>
        <w:rPr>
          <w:rFonts w:ascii="Calibri" w:hAnsi="Calibri"/>
          <w:b/>
        </w:rPr>
        <w:t>Socioeconomic:</w:t>
      </w:r>
      <w:r>
        <w:rPr>
          <w:rFonts w:ascii="Calibri" w:hAnsi="Calibri"/>
        </w:rPr>
        <w:t xml:space="preserve"> d — SBA Certified Small Disadvantaged Business; additional SAM-narrative: Minority-Owned, Black American Owned, DOT-Certified DBE</w:t>
      </w:r>
    </w:p>
    <w:p>
      <w:pPr>
        <w:pStyle w:val="ListBullet"/>
        <w:ind w:left="360"/>
      </w:pPr>
      <w:r>
        <w:rPr>
          <w:rFonts w:ascii="Calibri" w:hAnsi="Calibri"/>
          <w:b/>
        </w:rPr>
        <w:t>NAICS for this requirement:</w:t>
      </w:r>
      <w:r>
        <w:rPr>
          <w:rFonts w:ascii="Calibri" w:hAnsi="Calibri"/>
        </w:rPr>
        <w:t xml:space="preserve"> 541519 (Other Computer Services) — also defensible as 518210 (Cloud) if hosting elements dominate</w:t>
      </w:r>
    </w:p>
    <w:p>
      <w:pPr>
        <w:pStyle w:val="ListBullet"/>
        <w:ind w:left="360"/>
      </w:pPr>
      <w:r>
        <w:rPr>
          <w:rFonts w:ascii="Calibri" w:hAnsi="Calibri"/>
          <w:b/>
        </w:rPr>
        <w:t>GSA SINs applicable:</w:t>
      </w:r>
      <w:r>
        <w:rPr>
          <w:rFonts w:ascii="Calibri" w:hAnsi="Calibri"/>
        </w:rPr>
        <w:t xml:space="preserve"> 54151S (IT Professional Services) and 518210C (Cloud)</w:t>
      </w:r>
    </w:p>
    <w:p>
      <w:pPr>
        <w:pStyle w:val="ListBullet"/>
        <w:ind w:left="360"/>
      </w:pPr>
      <w:r>
        <w:rPr>
          <w:rFonts w:ascii="Calibri" w:hAnsi="Calibri"/>
          <w:b/>
        </w:rPr>
        <w:t>Commercial Item (FAR Part 12):</w:t>
      </w:r>
      <w:r>
        <w:rPr>
          <w:rFonts w:ascii="Calibri" w:hAnsi="Calibri"/>
        </w:rPr>
        <w:t xml:space="preserve"> Yes</w:t>
      </w:r>
    </w:p>
    <w:p>
      <w:pPr>
        <w:pStyle w:val="ListBullet"/>
        <w:ind w:left="360"/>
      </w:pPr>
      <w:r>
        <w:rPr>
          <w:rFonts w:ascii="Calibri" w:hAnsi="Calibri"/>
          <w:b/>
        </w:rPr>
        <w:t>Lead Time from Award:</w:t>
      </w:r>
      <w:r>
        <w:rPr>
          <w:rFonts w:ascii="Calibri" w:hAnsi="Calibri"/>
        </w:rPr>
        <w:t xml:space="preserve"> 30 days or less</w:t>
      </w:r>
    </w:p>
    <w:p>
      <w:pPr>
        <w:pStyle w:val="ListBullet"/>
        <w:ind w:left="360"/>
      </w:pPr>
      <w:r>
        <w:rPr>
          <w:rFonts w:ascii="Calibri" w:hAnsi="Calibri"/>
          <w:b/>
        </w:rPr>
        <w:t>Subcontracting Intent:</w:t>
      </w:r>
      <w:r>
        <w:rPr>
          <w:rFonts w:ascii="Calibri" w:hAnsi="Calibri"/>
        </w:rPr>
        <w:t xml:space="preserve"> None as prime; teaming opportunity-specific at task-order level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