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SpatialGIS Capability Statement</w:t>
      </w:r>
    </w:p>
    <w:p>
      <w:pPr>
        <w:spacing w:before="0" w:after="120"/>
      </w:pPr>
      <w:r>
        <w:rPr>
          <w:rFonts w:ascii="Calibri" w:hAnsi="Calibri"/>
          <w:b/>
        </w:rPr>
        <w:t>USAF — Cybersecurity Information Assurance Support (CIAS)</w:t>
      </w:r>
    </w:p>
    <w:p>
      <w:pPr>
        <w:spacing w:before="0" w:after="120"/>
      </w:pPr>
      <w:r>
        <w:rPr>
          <w:rFonts w:ascii="Calibri" w:hAnsi="Calibri"/>
          <w:b/>
        </w:rPr>
        <w:t>MRAS RFI:</w:t>
      </w:r>
      <w:r>
        <w:rPr>
          <w:rFonts w:ascii="Calibri" w:hAnsi="Calibri"/>
        </w:rPr>
        <w:t xml:space="preserve"> SV_aXJMqGbSofNvK6O | </w:t>
      </w:r>
      <w:r>
        <w:rPr>
          <w:rFonts w:ascii="Calibri" w:hAnsi="Calibri"/>
          <w:b/>
        </w:rPr>
        <w:t>Response Date:</w:t>
      </w:r>
      <w:r>
        <w:rPr>
          <w:rFonts w:ascii="Calibri" w:hAnsi="Calibri"/>
        </w:rPr>
        <w:t xml:space="preserve"> 2026-05-27 | </w:t>
      </w:r>
      <w:r>
        <w:rPr>
          <w:rFonts w:ascii="Calibri" w:hAnsi="Calibri"/>
          <w:b/>
        </w:rPr>
        <w:t>POC:</w:t>
      </w:r>
      <w:r>
        <w:rPr>
          <w:rFonts w:ascii="Calibri" w:hAnsi="Calibri"/>
        </w:rPr>
        <w:t xml:space="preserve"> Kendrick Faison</w:t>
      </w:r>
    </w:p>
    <w:p>
      <w:pPr>
        <w:pStyle w:val="Heading2"/>
      </w:pPr>
      <w:r>
        <w:t>1.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Legal Name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SpatialGIS, LLC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UEI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XE8LEMK77DC9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7RFJ7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GSA MAS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47QTCA24D00DS (Active) — SINs 541370GIS, 518210C, 54151S, 541515, 541611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Facility Clearance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Top Secret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Socioeconomic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SBA-Certified Small Disadvantaged Business; Minority-Owned; Black American Owned; DOT-Certified DBE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POC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Kendrick Faison, President — kendrick@spatialgisservices.com — 301-442-3914</w:t>
            </w:r>
          </w:p>
        </w:tc>
      </w:tr>
    </w:tbl>
    <w:p/>
    <w:p>
      <w:pPr>
        <w:pStyle w:val="Heading2"/>
      </w:pPr>
      <w:r>
        <w:t>2. Fit to Requirement</w:t>
      </w:r>
    </w:p>
    <w:p>
      <w:pPr>
        <w:spacing w:before="0" w:after="120"/>
      </w:pPr>
      <w:r>
        <w:rPr>
          <w:rFonts w:ascii="Calibri" w:hAnsi="Calibri"/>
        </w:rPr>
        <w:t>CIAS scope: technical and engineering support to COMPUSEC, Ports/Protocols/Services (PPS), and TEMPEST programs; analysis and technical reviews of systems and assessments; documentation supporting Government-led efforts to enhance security posture of USAF networks and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Required Capability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SpatialGIS Service Line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Anchoring Reference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COMPUSEC technical and engineering support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Cybersecurity &amp; Zero Trust Advisory; RMF execution; ATO support; CMMC readiness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USTRANSCOM EADE — Zero Trust implementation in classified and unclassified environments aligned to DoD CC SRG and NIST 800-171 / CMMC Level 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Ports/Protocols/Services (PPS) review and analysis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Cybersecurity Continuous Monitoring; vulnerability management; compliance reporting against NIST 800-53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DOI FCHS2 — FedRAMP advisory work across DOI bureau task orders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TEMPEST program support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Information assurance technical reviews; compliance documentation for cleared environments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TitanX (IC customer) — TS/SCI custom programming under Prime 2020-20080600403, NAICS 541511, in classified environments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Security posture assessments and documentation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Risk management framework execution; supply chain risk assessment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USTRANSCOM EADE + DOI FCHS2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Continuous monitoring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Cybersecurity Continuous Monitoring (Managed Service line)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Ongoing ConMon and compliance reporting against NIST 800-53 and CMMC controls</w:t>
            </w:r>
          </w:p>
        </w:tc>
      </w:tr>
    </w:tbl>
    <w:p/>
    <w:p>
      <w:pPr>
        <w:pStyle w:val="Heading2"/>
      </w:pPr>
      <w:r>
        <w:t>3. Past Performance Relevant to 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Contract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Role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Vehicle / NAICS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Relevance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USTRANSCOM EADE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Subcontractor under UNCOMN prime; Contract HTC71126DE116 (bridge)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T&amp;M; OASIS+ T&amp;E + M&amp;A Relevant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Enterprise architecture, cloud engineering, application modernization aligned to DoD CC SRG and NIST 800-171 / CMMC Level 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TitanX (IC customer)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Subcontractor under Prime 2020-20080600403; Subcontract S001555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T&amp;M, NAICS 541511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TS/SCI custom programming in classified environment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DOI FCHS2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Subcontractor under IBM prime on DOI FCHS2 MA-IDIQ ($2B ceiling, 2024-2034)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IDIQ subcontract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Cloud-program management, configuration management, requirements management, FedRAMP advisory across DOI bureau task orders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U.S. Navy NAWCAD Lakehurst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Federal prime, BPA N6833523A0199 ($5M ceiling)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BPA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IT and engineering services to NAWCAD; demonstrates federal-prime status</w:t>
            </w:r>
          </w:p>
        </w:tc>
      </w:tr>
    </w:tbl>
    <w:p/>
    <w:p>
      <w:pPr>
        <w:pStyle w:val="Heading2"/>
      </w:pPr>
      <w:r>
        <w:t>4. Cleared Workforce Posture</w:t>
      </w:r>
    </w:p>
    <w:p>
      <w:pPr>
        <w:pStyle w:val="ListBullet"/>
        <w:ind w:left="360"/>
      </w:pPr>
      <w:r>
        <w:rPr>
          <w:rFonts w:ascii="Calibri" w:hAnsi="Calibri"/>
        </w:rPr>
        <w:t>Top Secret cleared facility (subsumes Secret FCL requirements)</w:t>
      </w:r>
    </w:p>
    <w:p>
      <w:pPr>
        <w:pStyle w:val="ListBullet"/>
        <w:ind w:left="360"/>
      </w:pPr>
      <w:r>
        <w:rPr>
          <w:rFonts w:ascii="Calibri" w:hAnsi="Calibri"/>
        </w:rPr>
        <w:t>Fayetteville State University HBCU MOU — cleared workforce pipeline including TS-eligible candidates</w:t>
      </w:r>
    </w:p>
    <w:p>
      <w:pPr>
        <w:pStyle w:val="ListBullet"/>
        <w:ind w:left="360"/>
      </w:pPr>
      <w:r>
        <w:rPr>
          <w:rFonts w:ascii="Calibri" w:hAnsi="Calibri"/>
        </w:rPr>
        <w:t>Active TS/SCI delivery posture on TitanX (IC customer)</w:t>
      </w:r>
    </w:p>
    <w:p>
      <w:pPr>
        <w:pStyle w:val="Heading2"/>
      </w:pPr>
      <w:r>
        <w:t>5. Business Information for MRAS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Business Size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Small business under NAICS 541512, 541519, 541611, 541690, 541713, 541990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Socioeconomic indicator (GSA MRAS key)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 — SBA Certified Small Disadvantaged business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NAICS for this requirement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541512 (Computer Systems Design) or 541519 (Other Computer Services) or 541690 (Other Sci/Tech Consulting) — selection adjusted per Qualtrics survey choices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GSA SINs applicable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54151S (IT Professional Services)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Commercial Item (FAR Part 12)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Yes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Lead Time from Award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30 days or less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Subcontracting Intent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None as prime; teaming opportunity-specific at task-order level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