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Statement — HHS CDC Technical Support for VEHSS</w:t>
      </w:r>
    </w:p>
    <w:p>
      <w:pPr>
        <w:pStyle w:val="Heading2"/>
      </w:pPr>
      <w:r>
        <w:t>SpatialGIS, LLC | GSA MAS 47QTCA24D00DS | CAGE 7RFJ7 | UEI XE8LEMK77DC9</w:t>
      </w:r>
    </w:p>
    <w:p>
      <w:pPr>
        <w:spacing w:before="0" w:after="120"/>
      </w:pPr>
      <w:r>
        <w:rPr>
          <w:rFonts w:ascii="Calibri" w:hAnsi="Calibri"/>
          <w:b/>
        </w:rPr>
        <w:t>RFI:</w:t>
      </w:r>
      <w:r>
        <w:rPr>
          <w:rFonts w:ascii="Calibri" w:hAnsi="Calibri"/>
        </w:rPr>
        <w:t xml:space="preserve"> HHS CDC – Technical Support for Vision and Eye Health Surveillance System (VEHSS)</w:t>
      </w:r>
    </w:p>
    <w:p>
      <w:pPr>
        <w:spacing w:before="0" w:after="120"/>
      </w:pPr>
      <w:r>
        <w:rPr>
          <w:rFonts w:ascii="Calibri" w:hAnsi="Calibri"/>
          <w:b/>
        </w:rPr>
        <w:t>Soliciting Program:</w:t>
      </w:r>
      <w:r>
        <w:rPr>
          <w:rFonts w:ascii="Calibri" w:hAnsi="Calibri"/>
        </w:rPr>
        <w:t xml:space="preserve"> CDC Geospatial Research, Analysis, and Services Program (GRASP)</w:t>
      </w:r>
    </w:p>
    <w:p>
      <w:pPr>
        <w:spacing w:before="0" w:after="120"/>
      </w:pPr>
      <w:r>
        <w:rPr>
          <w:rFonts w:ascii="Calibri" w:hAnsi="Calibri"/>
          <w:b/>
        </w:rPr>
        <w:t>Response Due:</w:t>
      </w:r>
      <w:r>
        <w:rPr>
          <w:rFonts w:ascii="Calibri" w:hAnsi="Calibri"/>
        </w:rPr>
        <w:t xml:space="preserve"> June 8, 2026</w:t>
      </w:r>
    </w:p>
    <w:p>
      <w:pPr>
        <w:spacing w:before="0" w:after="120"/>
      </w:pPr>
      <w:r>
        <w:rPr>
          <w:rFonts w:ascii="Calibri" w:hAnsi="Calibri"/>
          <w:b/>
        </w:rPr>
        <w:t>Survey ID:</w:t>
      </w:r>
      <w:r>
        <w:rPr>
          <w:rFonts w:ascii="Calibri" w:hAnsi="Calibri"/>
        </w:rPr>
        <w:t xml:space="preserve"> SV_6tbG2Lwjd2D8L9c</w:t>
      </w:r>
    </w:p>
    <w:p>
      <w:pPr>
        <w:spacing w:before="0" w:after="120"/>
      </w:pPr>
      <w:r>
        <w:rPr>
          <w:rFonts w:ascii="Calibri" w:hAnsi="Calibri"/>
          <w:b/>
        </w:rPr>
        <w:t>Prepared:</w:t>
      </w:r>
      <w:r>
        <w:rPr>
          <w:rFonts w:ascii="Calibri" w:hAnsi="Calibri"/>
        </w:rPr>
        <w:t xml:space="preserve"> 2026-06-04</w:t>
      </w:r>
    </w:p>
    <w:p>
      <w:pPr>
        <w:pStyle w:val="Heading2"/>
      </w:pPr>
      <w:r>
        <w:t>Section 1 — Executive Summary</w:t>
      </w:r>
    </w:p>
    <w:p>
      <w:pPr>
        <w:spacing w:before="0" w:after="120"/>
      </w:pPr>
      <w:r>
        <w:rPr>
          <w:rFonts w:ascii="Calibri" w:hAnsi="Calibri"/>
        </w:rPr>
        <w:t>SpatialGIS, LLC is a geospatial information technology firm providing GIS-based data management, spatial analysis, and web-based visualization services to federal agencies. We are a certified Small Business and SDB (Type d) holding GSA MAS contract 47QTCA24D00DS (SIN 54151S — IT Professional Services) and registered in SAM.gov under NAICS 541370.</w:t>
      </w:r>
    </w:p>
    <w:p>
      <w:pPr>
        <w:spacing w:before="0" w:after="120"/>
      </w:pPr>
      <w:r>
        <w:rPr>
          <w:rFonts w:ascii="Calibri" w:hAnsi="Calibri"/>
        </w:rPr>
        <w:t>CDC's Geospatial Research, Analysis, and Services Program (GRASP) is the natural home for SpatialGIS's core capabilities. The Vision and Eye Health Surveillance System (VEHSS) aggregates and presents population-level data on vision loss and eye health at the national, state, and county levels — a paradigmatic geospatial public health surveillance use case. SpatialGIS has direct experience maintaining and evolving spatial data systems of comparable scope: multi-layer geographic datasets, administrative boundary hierarchies, indicator time-series, and interactive web portals driven by ArcGIS or open-source GIS stacks.</w:t>
      </w:r>
    </w:p>
    <w:p>
      <w:pPr>
        <w:spacing w:before="0" w:after="120"/>
      </w:pPr>
      <w:r>
        <w:rPr>
          <w:rFonts w:ascii="Calibri" w:hAnsi="Calibri"/>
        </w:rPr>
        <w:t>Our value proposition for VEHSS: we provide the geospatial engineering and data stewardship needed to preserve accumulated surveillance knowledge while extending GRASP's analytical capability to address new public health priorities — without disruption to existing data contracts, API consumers, or the Healthy People 2030 indicator tracking cadence.</w:t>
      </w:r>
    </w:p>
    <w:p>
      <w:pPr>
        <w:pStyle w:val="Heading2"/>
      </w:pPr>
      <w:r>
        <w:t>Section 2 — Corporate Overview</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Legal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DBA</w:t>
            </w:r>
          </w:p>
        </w:tc>
        <w:tc>
          <w:tcPr>
            <w:tcW w:type="dxa" w:w="4320"/>
          </w:tcPr>
          <w:p>
            <w:pPr>
              <w:spacing w:before="40" w:after="40"/>
            </w:pPr>
            <w:r>
              <w:rPr>
                <w:rFonts w:ascii="Calibri" w:hAnsi="Calibri"/>
              </w:rPr>
              <w:t>SpatialGIS</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Business Type</w:t>
            </w:r>
          </w:p>
        </w:tc>
        <w:tc>
          <w:tcPr>
            <w:tcW w:type="dxa" w:w="4320"/>
          </w:tcPr>
          <w:p>
            <w:pPr>
              <w:spacing w:before="40" w:after="40"/>
            </w:pPr>
            <w:r>
              <w:rPr>
                <w:rFonts w:ascii="Calibri" w:hAnsi="Calibri"/>
              </w:rPr>
              <w:t>Small Business</w:t>
            </w:r>
          </w:p>
        </w:tc>
      </w:tr>
      <w:tr>
        <w:tc>
          <w:tcPr>
            <w:tcW w:type="dxa" w:w="4320"/>
          </w:tcPr>
          <w:p>
            <w:pPr>
              <w:spacing w:before="40" w:after="40"/>
            </w:pPr>
            <w:r>
              <w:rPr>
                <w:rFonts w:ascii="Calibri" w:hAnsi="Calibri"/>
              </w:rPr>
              <w:t>Socioeconomic Status</w:t>
            </w:r>
          </w:p>
        </w:tc>
        <w:tc>
          <w:tcPr>
            <w:tcW w:type="dxa" w:w="4320"/>
          </w:tcPr>
          <w:p>
            <w:pPr>
              <w:spacing w:before="40" w:after="40"/>
            </w:pPr>
            <w:r>
              <w:rPr>
                <w:rFonts w:ascii="Calibri" w:hAnsi="Calibri"/>
              </w:rPr>
              <w:t>SDB (Type d)</w:t>
            </w:r>
          </w:p>
        </w:tc>
      </w:tr>
      <w:tr>
        <w:tc>
          <w:tcPr>
            <w:tcW w:type="dxa" w:w="4320"/>
          </w:tcPr>
          <w:p>
            <w:pPr>
              <w:spacing w:before="40" w:after="40"/>
            </w:pPr>
            <w:r>
              <w:rPr>
                <w:rFonts w:ascii="Calibri" w:hAnsi="Calibri"/>
              </w:rPr>
              <w:t>GSA MAS Contract</w:t>
            </w:r>
          </w:p>
        </w:tc>
        <w:tc>
          <w:tcPr>
            <w:tcW w:type="dxa" w:w="4320"/>
          </w:tcPr>
          <w:p>
            <w:pPr>
              <w:spacing w:before="40" w:after="40"/>
            </w:pPr>
            <w:r>
              <w:rPr>
                <w:rFonts w:ascii="Calibri" w:hAnsi="Calibri"/>
              </w:rPr>
              <w:t>47QTCA24D00DS</w:t>
            </w:r>
          </w:p>
        </w:tc>
      </w:tr>
      <w:tr>
        <w:tc>
          <w:tcPr>
            <w:tcW w:type="dxa" w:w="4320"/>
          </w:tcPr>
          <w:p>
            <w:pPr>
              <w:spacing w:before="40" w:after="40"/>
            </w:pPr>
            <w:r>
              <w:rPr>
                <w:rFonts w:ascii="Calibri" w:hAnsi="Calibri"/>
              </w:rPr>
              <w:t>GSA MAS SIN</w:t>
            </w:r>
          </w:p>
        </w:tc>
        <w:tc>
          <w:tcPr>
            <w:tcW w:type="dxa" w:w="4320"/>
          </w:tcPr>
          <w:p>
            <w:pPr>
              <w:spacing w:before="40" w:after="40"/>
            </w:pPr>
            <w:r>
              <w:rPr>
                <w:rFonts w:ascii="Calibri" w:hAnsi="Calibri"/>
              </w:rPr>
              <w:t>54151S — IT Professional Services</w:t>
            </w:r>
          </w:p>
        </w:tc>
      </w:tr>
      <w:tr>
        <w:tc>
          <w:tcPr>
            <w:tcW w:type="dxa" w:w="4320"/>
          </w:tcPr>
          <w:p>
            <w:pPr>
              <w:spacing w:before="40" w:after="40"/>
            </w:pPr>
            <w:r>
              <w:rPr>
                <w:rFonts w:ascii="Calibri" w:hAnsi="Calibri"/>
              </w:rPr>
              <w:t>Primary NAICS</w:t>
            </w:r>
          </w:p>
        </w:tc>
        <w:tc>
          <w:tcPr>
            <w:tcW w:type="dxa" w:w="4320"/>
          </w:tcPr>
          <w:p>
            <w:pPr>
              <w:spacing w:before="40" w:after="40"/>
            </w:pPr>
            <w:r>
              <w:rPr>
                <w:rFonts w:ascii="Calibri" w:hAnsi="Calibri"/>
              </w:rPr>
              <w:t>541370 (Surveying and Mapping Services)</w:t>
            </w:r>
          </w:p>
        </w:tc>
      </w:tr>
      <w:tr>
        <w:tc>
          <w:tcPr>
            <w:tcW w:type="dxa" w:w="4320"/>
          </w:tcPr>
          <w:p>
            <w:pPr>
              <w:spacing w:before="40" w:after="40"/>
            </w:pPr>
            <w:r>
              <w:rPr>
                <w:rFonts w:ascii="Calibri" w:hAnsi="Calibri"/>
              </w:rPr>
              <w:t>Additional NAICS</w:t>
            </w:r>
          </w:p>
        </w:tc>
        <w:tc>
          <w:tcPr>
            <w:tcW w:type="dxa" w:w="4320"/>
          </w:tcPr>
          <w:p>
            <w:pPr>
              <w:spacing w:before="40" w:after="40"/>
            </w:pPr>
            <w:r>
              <w:rPr>
                <w:rFonts w:ascii="Calibri" w:hAnsi="Calibri"/>
              </w:rPr>
              <w:t>541511, 541512, 541519</w:t>
            </w:r>
          </w:p>
        </w:tc>
      </w:tr>
      <w:tr>
        <w:tc>
          <w:tcPr>
            <w:tcW w:type="dxa" w:w="4320"/>
          </w:tcPr>
          <w:p>
            <w:pPr>
              <w:spacing w:before="40" w:after="40"/>
            </w:pPr>
            <w:r>
              <w:rPr>
                <w:rFonts w:ascii="Calibri" w:hAnsi="Calibri"/>
              </w:rPr>
              <w:t>SAM.gov Status</w:t>
            </w:r>
          </w:p>
        </w:tc>
        <w:tc>
          <w:tcPr>
            <w:tcW w:type="dxa" w:w="4320"/>
          </w:tcPr>
          <w:p>
            <w:pPr>
              <w:spacing w:before="40" w:after="40"/>
            </w:pPr>
            <w:r>
              <w:rPr>
                <w:rFonts w:ascii="Calibri" w:hAnsi="Calibri"/>
              </w:rPr>
              <w:t>Active</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r>
        <w:tc>
          <w:tcPr>
            <w:tcW w:type="dxa" w:w="4320"/>
          </w:tcPr>
          <w:p>
            <w:pPr>
              <w:spacing w:before="40" w:after="40"/>
            </w:pPr>
            <w:r>
              <w:rPr>
                <w:rFonts w:ascii="Calibri" w:hAnsi="Calibri"/>
              </w:rPr>
              <w:t>Primary POC</w:t>
            </w:r>
          </w:p>
        </w:tc>
        <w:tc>
          <w:tcPr>
            <w:tcW w:type="dxa" w:w="4320"/>
          </w:tcPr>
          <w:p>
            <w:pPr>
              <w:spacing w:before="40" w:after="40"/>
            </w:pPr>
            <w:r>
              <w:rPr>
                <w:rFonts w:ascii="Calibri" w:hAnsi="Calibri"/>
              </w:rPr>
              <w:t>Kendrick — kendrick@spatialgisservices.com</w:t>
            </w:r>
          </w:p>
        </w:tc>
      </w:tr>
    </w:tbl>
    <w:p/>
    <w:p>
      <w:pPr>
        <w:pStyle w:val="Heading2"/>
      </w:pPr>
      <w:r>
        <w:t>Section 3 — Core Capabilities</w:t>
      </w:r>
    </w:p>
    <w:p>
      <w:pPr>
        <w:spacing w:before="0" w:after="120"/>
      </w:pPr>
      <w:r>
        <w:rPr>
          <w:rFonts w:ascii="Calibri" w:hAnsi="Calibri"/>
          <w:b/>
        </w:rPr>
        <w:t>Geospatial Data Management and Integration</w:t>
      </w:r>
    </w:p>
    <w:p>
      <w:pPr>
        <w:spacing w:before="0" w:after="120"/>
      </w:pPr>
      <w:r>
        <w:rPr>
          <w:rFonts w:ascii="Calibri" w:hAnsi="Calibri"/>
        </w:rPr>
        <w:t>SpatialGIS manages geospatial datasets across federal, state, and county administrative boundaries. We design and maintain geodatabases in ArcGIS Enterprise, PostGIS, and cloud-hosted spatial platforms (AWS, Azure). Capabilities include: feature class design, topology rules, domain management, version-controlled editing workflows, and ETL pipelines that ingest surveillance data from state and territorial health departments. For surveillance systems like VEHSS, we routinely handle multi-year indicator time-series joined to administrative boundary layers — exactly the data model VEHSS requires.</w:t>
      </w:r>
    </w:p>
    <w:p>
      <w:pPr>
        <w:spacing w:before="0" w:after="120"/>
      </w:pPr>
      <w:r>
        <w:rPr>
          <w:rFonts w:ascii="Calibri" w:hAnsi="Calibri"/>
          <w:b/>
        </w:rPr>
        <w:t>Spatial Analysis and Epidemiological Mapping</w:t>
      </w:r>
    </w:p>
    <w:p>
      <w:pPr>
        <w:spacing w:before="0" w:after="120"/>
      </w:pPr>
      <w:r>
        <w:rPr>
          <w:rFonts w:ascii="Calibri" w:hAnsi="Calibri"/>
        </w:rPr>
        <w:t>SpatialGIS analysts perform spatial statistics, choropleth mapping, hot-spot analysis, and population-weighted aggregations at multiple geographic levels. We use ArcGIS Pro, Python (geopandas, shapely, fiona, scipy.stats), R spatial packages, and PostgreSQL/PostGIS for reproducible analysis pipelines. We are experienced with CDC surveillance methodologies and age-standardized rate calculations used in VEHSS indicator production.</w:t>
      </w:r>
    </w:p>
    <w:p>
      <w:pPr>
        <w:spacing w:before="0" w:after="120"/>
      </w:pPr>
      <w:r>
        <w:rPr>
          <w:rFonts w:ascii="Calibri" w:hAnsi="Calibri"/>
          <w:b/>
        </w:rPr>
        <w:t>Web GIS Application Development and Modernization</w:t>
      </w:r>
    </w:p>
    <w:p>
      <w:pPr>
        <w:spacing w:before="0" w:after="120"/>
      </w:pPr>
      <w:r>
        <w:rPr>
          <w:rFonts w:ascii="Calibri" w:hAnsi="Calibri"/>
        </w:rPr>
        <w:t>SpatialGIS builds and modernizes interactive web mapping portals using ArcGIS Experience Builder, Web AppBuilder, ESRI JavaScript API, Leaflet, and React-based custom applications. We maintain ArcGIS Online and ArcGIS Enterprise deployments. For VEHSS-style public portals, we design accessible (Section 508), mobile-responsive, and screen-reader-compatible interfaces with filterable geographic views, downloadable data tables, and embeddable map widgets.</w:t>
      </w:r>
    </w:p>
    <w:p>
      <w:pPr>
        <w:spacing w:before="0" w:after="120"/>
      </w:pPr>
      <w:r>
        <w:rPr>
          <w:rFonts w:ascii="Calibri" w:hAnsi="Calibri"/>
          <w:b/>
        </w:rPr>
        <w:t>Data Quality Assurance and Continuity</w:t>
      </w:r>
    </w:p>
    <w:p>
      <w:pPr>
        <w:spacing w:before="0" w:after="120"/>
      </w:pPr>
      <w:r>
        <w:rPr>
          <w:rFonts w:ascii="Calibri" w:hAnsi="Calibri"/>
        </w:rPr>
        <w:t>We apply structured QA/QC methodologies to detect anomalies in surveillance data — including suppression checks (small-cell masking per CDC disclosure guidelines), range validation, year-over-year consistency checks, and cross-source reconciliation. We document data lineage and methodology for indicator reproducibility. VEHSS continuity requires exactly this discipline: new priorities cannot break existing indicator definitions or historical comparability.</w:t>
      </w:r>
    </w:p>
    <w:p>
      <w:pPr>
        <w:spacing w:before="0" w:after="120"/>
      </w:pPr>
      <w:r>
        <w:rPr>
          <w:rFonts w:ascii="Calibri" w:hAnsi="Calibri"/>
          <w:b/>
        </w:rPr>
        <w:t>Cloud Infrastructure and FISMA Compliance</w:t>
      </w:r>
    </w:p>
    <w:p>
      <w:pPr>
        <w:spacing w:before="0" w:after="120"/>
      </w:pPr>
      <w:r>
        <w:rPr>
          <w:rFonts w:ascii="Calibri" w:hAnsi="Calibri"/>
        </w:rPr>
        <w:t>SpatialGIS operates in AWS GovCloud and Azure Government environments. We follow NIST SP 800-53 controls, conduct FISMA impact level assessments, and support the Authority to Operate (ATO) process through System Security Plans (SSPs), Plan of Action and Milestones (POA&amp;Ms), and continuous monitoring dashboards. We are CMMC-aligned (Level 2 practices implemented; C3PAO assessment pending).</w:t>
      </w:r>
    </w:p>
    <w:p>
      <w:pPr>
        <w:pStyle w:val="Heading2"/>
      </w:pPr>
      <w:r>
        <w:t>Section 4 — Fit to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VEHSS Requirement</w:t>
            </w:r>
          </w:p>
        </w:tc>
        <w:tc>
          <w:tcPr>
            <w:tcW w:type="dxa" w:w="2880"/>
          </w:tcPr>
          <w:p>
            <w:pPr>
              <w:spacing w:before="40" w:after="40"/>
            </w:pPr>
            <w:r>
              <w:rPr>
                <w:rFonts w:ascii="Calibri" w:hAnsi="Calibri"/>
                <w:b/>
              </w:rPr>
              <w:t>SpatialGIS Capability</w:t>
            </w:r>
          </w:p>
        </w:tc>
        <w:tc>
          <w:tcPr>
            <w:tcW w:type="dxa" w:w="2880"/>
          </w:tcPr>
          <w:p>
            <w:pPr>
              <w:spacing w:before="40" w:after="40"/>
            </w:pPr>
            <w:r>
              <w:rPr>
                <w:rFonts w:ascii="Calibri" w:hAnsi="Calibri"/>
                <w:b/>
              </w:rPr>
              <w:t>Fit</w:t>
            </w:r>
          </w:p>
        </w:tc>
      </w:tr>
      <w:tr>
        <w:tc>
          <w:tcPr>
            <w:tcW w:type="dxa" w:w="2880"/>
          </w:tcPr>
          <w:p>
            <w:pPr>
              <w:spacing w:before="40" w:after="40"/>
            </w:pPr>
            <w:r>
              <w:rPr>
                <w:rFonts w:ascii="Calibri" w:hAnsi="Calibri"/>
              </w:rPr>
              <w:t>Continuation of VEHSS operations under GRASP</w:t>
            </w:r>
          </w:p>
        </w:tc>
        <w:tc>
          <w:tcPr>
            <w:tcW w:type="dxa" w:w="2880"/>
          </w:tcPr>
          <w:p>
            <w:pPr>
              <w:spacing w:before="40" w:after="40"/>
            </w:pPr>
            <w:r>
              <w:rPr>
                <w:rFonts w:ascii="Calibri" w:hAnsi="Calibri"/>
              </w:rPr>
              <w:t>Direct GIS program support experience; familiar with GRASP's data model and production cadence</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Geospatial data management for vision/eye health indicators</w:t>
            </w:r>
          </w:p>
        </w:tc>
        <w:tc>
          <w:tcPr>
            <w:tcW w:type="dxa" w:w="2880"/>
          </w:tcPr>
          <w:p>
            <w:pPr>
              <w:spacing w:before="40" w:after="40"/>
            </w:pPr>
            <w:r>
              <w:rPr>
                <w:rFonts w:ascii="Calibri" w:hAnsi="Calibri"/>
              </w:rPr>
              <w:t>Multi-layer geodatabase management, indicator time-series, administrative boundary hierarchies</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Address new priorities while preserving accumulated knowledge</w:t>
            </w:r>
          </w:p>
        </w:tc>
        <w:tc>
          <w:tcPr>
            <w:tcW w:type="dxa" w:w="2880"/>
          </w:tcPr>
          <w:p>
            <w:pPr>
              <w:spacing w:before="40" w:after="40"/>
            </w:pPr>
            <w:r>
              <w:rPr>
                <w:rFonts w:ascii="Calibri" w:hAnsi="Calibri"/>
              </w:rPr>
              <w:t>Change-controlled data model migrations; backward-compatible API versioning; documentation-first approach</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Web portal maintenance and enhancement</w:t>
            </w:r>
          </w:p>
        </w:tc>
        <w:tc>
          <w:tcPr>
            <w:tcW w:type="dxa" w:w="2880"/>
          </w:tcPr>
          <w:p>
            <w:pPr>
              <w:spacing w:before="40" w:after="40"/>
            </w:pPr>
            <w:r>
              <w:rPr>
                <w:rFonts w:ascii="Calibri" w:hAnsi="Calibri"/>
              </w:rPr>
              <w:t>ArcGIS Experience Builder, ESRI JS API, Section 508 compliance</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Epidemiological data integration from state/territory sources</w:t>
            </w:r>
          </w:p>
        </w:tc>
        <w:tc>
          <w:tcPr>
            <w:tcW w:type="dxa" w:w="2880"/>
          </w:tcPr>
          <w:p>
            <w:pPr>
              <w:spacing w:before="40" w:after="40"/>
            </w:pPr>
            <w:r>
              <w:rPr>
                <w:rFonts w:ascii="Calibri" w:hAnsi="Calibri"/>
              </w:rPr>
              <w:t>State health department data ingest, ETL pipelines, suppression logic</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FISMA/ATO compliance</w:t>
            </w:r>
          </w:p>
        </w:tc>
        <w:tc>
          <w:tcPr>
            <w:tcW w:type="dxa" w:w="2880"/>
          </w:tcPr>
          <w:p>
            <w:pPr>
              <w:spacing w:before="40" w:after="40"/>
            </w:pPr>
            <w:r>
              <w:rPr>
                <w:rFonts w:ascii="Calibri" w:hAnsi="Calibri"/>
              </w:rPr>
              <w:t>NIST 800-53 controls, SSP, POA&amp;M, FedRAMP-authorized cloud infrastructure</w:t>
            </w:r>
          </w:p>
        </w:tc>
        <w:tc>
          <w:tcPr>
            <w:tcW w:type="dxa" w:w="2880"/>
          </w:tcPr>
          <w:p>
            <w:pPr>
              <w:spacing w:before="40" w:after="40"/>
            </w:pPr>
            <w:r>
              <w:rPr>
                <w:rFonts w:ascii="Calibri" w:hAnsi="Calibri"/>
                <w:b/>
              </w:rPr>
              <w:t>Strong</w:t>
            </w:r>
          </w:p>
        </w:tc>
      </w:tr>
      <w:tr>
        <w:tc>
          <w:tcPr>
            <w:tcW w:type="dxa" w:w="2880"/>
          </w:tcPr>
          <w:p>
            <w:pPr>
              <w:spacing w:before="40" w:after="40"/>
            </w:pPr>
            <w:r>
              <w:rPr>
                <w:rFonts w:ascii="Calibri" w:hAnsi="Calibri"/>
              </w:rPr>
              <w:t>Small Business</w:t>
            </w:r>
          </w:p>
        </w:tc>
        <w:tc>
          <w:tcPr>
            <w:tcW w:type="dxa" w:w="2880"/>
          </w:tcPr>
          <w:p>
            <w:pPr>
              <w:spacing w:before="40" w:after="40"/>
            </w:pPr>
            <w:r>
              <w:rPr>
                <w:rFonts w:ascii="Calibri" w:hAnsi="Calibri"/>
              </w:rPr>
              <w:t>Small Business, SDB Type d</w:t>
            </w:r>
          </w:p>
        </w:tc>
        <w:tc>
          <w:tcPr>
            <w:tcW w:type="dxa" w:w="2880"/>
          </w:tcPr>
          <w:p>
            <w:pPr>
              <w:spacing w:before="40" w:after="40"/>
            </w:pPr>
            <w:r>
              <w:rPr>
                <w:rFonts w:ascii="Calibri" w:hAnsi="Calibri"/>
                <w:b/>
              </w:rPr>
              <w:t>Meets</w:t>
            </w:r>
          </w:p>
        </w:tc>
      </w:tr>
      <w:tr>
        <w:tc>
          <w:tcPr>
            <w:tcW w:type="dxa" w:w="2880"/>
          </w:tcPr>
          <w:p>
            <w:pPr>
              <w:spacing w:before="40" w:after="40"/>
            </w:pPr>
            <w:r>
              <w:rPr>
                <w:rFonts w:ascii="Calibri" w:hAnsi="Calibri"/>
              </w:rPr>
              <w:t>GSA MAS vehicle</w:t>
            </w:r>
          </w:p>
        </w:tc>
        <w:tc>
          <w:tcPr>
            <w:tcW w:type="dxa" w:w="2880"/>
          </w:tcPr>
          <w:p>
            <w:pPr>
              <w:spacing w:before="40" w:after="40"/>
            </w:pPr>
            <w:r>
              <w:rPr>
                <w:rFonts w:ascii="Calibri" w:hAnsi="Calibri"/>
              </w:rPr>
              <w:t>GSA MAS 47QTCA24D00DS SIN 54151S</w:t>
            </w:r>
          </w:p>
        </w:tc>
        <w:tc>
          <w:tcPr>
            <w:tcW w:type="dxa" w:w="2880"/>
          </w:tcPr>
          <w:p>
            <w:pPr>
              <w:spacing w:before="40" w:after="40"/>
            </w:pPr>
            <w:r>
              <w:rPr>
                <w:rFonts w:ascii="Calibri" w:hAnsi="Calibri"/>
                <w:b/>
              </w:rPr>
              <w:t>Meets</w:t>
            </w:r>
          </w:p>
        </w:tc>
      </w:tr>
    </w:tbl>
    <w:p/>
    <w:p>
      <w:pPr>
        <w:pStyle w:val="Heading2"/>
      </w:pPr>
      <w:r>
        <w:t>Section 5 — Past Performance</w:t>
      </w:r>
    </w:p>
    <w:p>
      <w:pPr>
        <w:spacing w:before="0" w:after="120"/>
      </w:pPr>
      <w:r>
        <w:rPr>
          <w:rFonts w:ascii="Calibri" w:hAnsi="Calibri"/>
          <w:b/>
        </w:rPr>
        <w:t>Engagement 1 — Federal Geospatial Data Management Support</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Agency</w:t>
            </w:r>
          </w:p>
        </w:tc>
        <w:tc>
          <w:tcPr>
            <w:tcW w:type="dxa" w:w="4320"/>
          </w:tcPr>
          <w:p>
            <w:pPr>
              <w:spacing w:before="40" w:after="40"/>
            </w:pPr>
            <w:r>
              <w:rPr>
                <w:rFonts w:ascii="Calibri" w:hAnsi="Calibri"/>
              </w:rPr>
              <w:t>[Federal Agency]</w:t>
            </w:r>
          </w:p>
        </w:tc>
      </w:tr>
      <w:tr>
        <w:tc>
          <w:tcPr>
            <w:tcW w:type="dxa" w:w="4320"/>
          </w:tcPr>
          <w:p>
            <w:pPr>
              <w:spacing w:before="40" w:after="40"/>
            </w:pPr>
            <w:r>
              <w:rPr>
                <w:rFonts w:ascii="Calibri" w:hAnsi="Calibri"/>
              </w:rPr>
              <w:t>Contract Number</w:t>
            </w:r>
          </w:p>
        </w:tc>
        <w:tc>
          <w:tcPr>
            <w:tcW w:type="dxa" w:w="4320"/>
          </w:tcPr>
          <w:p>
            <w:pPr>
              <w:spacing w:before="40" w:after="40"/>
            </w:pPr>
            <w:r>
              <w:rPr>
                <w:rFonts w:ascii="Calibri" w:hAnsi="Calibri"/>
              </w:rPr>
              <w:t>[CONTRACT NUMBER — populate from my-company/]</w:t>
            </w:r>
          </w:p>
        </w:tc>
      </w:tr>
      <w:tr>
        <w:tc>
          <w:tcPr>
            <w:tcW w:type="dxa" w:w="4320"/>
          </w:tcPr>
          <w:p>
            <w:pPr>
              <w:spacing w:before="40" w:after="40"/>
            </w:pPr>
            <w:r>
              <w:rPr>
                <w:rFonts w:ascii="Calibri" w:hAnsi="Calibri"/>
              </w:rPr>
              <w:t>Period of Performance</w:t>
            </w:r>
          </w:p>
        </w:tc>
        <w:tc>
          <w:tcPr>
            <w:tcW w:type="dxa" w:w="4320"/>
          </w:tcPr>
          <w:p>
            <w:pPr>
              <w:spacing w:before="40" w:after="40"/>
            </w:pPr>
            <w:r>
              <w:rPr>
                <w:rFonts w:ascii="Calibri" w:hAnsi="Calibri"/>
              </w:rPr>
              <w:t>[DATES]</w:t>
            </w:r>
          </w:p>
        </w:tc>
      </w:tr>
      <w:tr>
        <w:tc>
          <w:tcPr>
            <w:tcW w:type="dxa" w:w="4320"/>
          </w:tcPr>
          <w:p>
            <w:pPr>
              <w:spacing w:before="40" w:after="40"/>
            </w:pPr>
            <w:r>
              <w:rPr>
                <w:rFonts w:ascii="Calibri" w:hAnsi="Calibri"/>
              </w:rPr>
              <w:t>Dollar Value</w:t>
            </w:r>
          </w:p>
        </w:tc>
        <w:tc>
          <w:tcPr>
            <w:tcW w:type="dxa" w:w="4320"/>
          </w:tcPr>
          <w:p>
            <w:pPr>
              <w:spacing w:before="40" w:after="40"/>
            </w:pPr>
            <w:r>
              <w:rPr>
                <w:rFonts w:ascii="Calibri" w:hAnsi="Calibri"/>
              </w:rPr>
              <w:t>[VALUE]</w:t>
            </w:r>
          </w:p>
        </w:tc>
      </w:tr>
      <w:tr>
        <w:tc>
          <w:tcPr>
            <w:tcW w:type="dxa" w:w="4320"/>
          </w:tcPr>
          <w:p>
            <w:pPr>
              <w:spacing w:before="40" w:after="40"/>
            </w:pPr>
            <w:r>
              <w:rPr>
                <w:rFonts w:ascii="Calibri" w:hAnsi="Calibri"/>
              </w:rPr>
              <w:t>NAICS</w:t>
            </w:r>
          </w:p>
        </w:tc>
        <w:tc>
          <w:tcPr>
            <w:tcW w:type="dxa" w:w="4320"/>
          </w:tcPr>
          <w:p>
            <w:pPr>
              <w:spacing w:before="40" w:after="40"/>
            </w:pPr>
            <w:r>
              <w:rPr>
                <w:rFonts w:ascii="Calibri" w:hAnsi="Calibri"/>
              </w:rPr>
              <w:t>541370</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Geospatial data management, ArcGIS Enterprise administration, feature class design, ETL pipeline development</w:t>
            </w:r>
          </w:p>
        </w:tc>
      </w:tr>
    </w:tbl>
    <w:p/>
    <w:p>
      <w:pPr>
        <w:spacing w:before="0" w:after="120"/>
      </w:pPr>
      <w:r>
        <w:rPr>
          <w:rFonts w:ascii="Calibri" w:hAnsi="Calibri"/>
        </w:rPr>
        <w:t>Description: SpatialGIS provided geospatial data stewardship services supporting an enterprise GIS platform serving multiple business units. Work included geodatabase schema design, topology enforcement, ETL automation from upstream data sources, and web mapping service publication. Directly analogous to VEHSS's data management requirements.</w:t>
      </w:r>
    </w:p>
    <w:p>
      <w:pPr>
        <w:spacing w:before="0" w:after="120"/>
      </w:pPr>
      <w:r>
        <w:rPr>
          <w:rFonts w:ascii="Calibri" w:hAnsi="Calibri"/>
          <w:b/>
        </w:rPr>
        <w:t>Engagement 2 — GIS Analytics and Web Portal Development</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Agency</w:t>
            </w:r>
          </w:p>
        </w:tc>
        <w:tc>
          <w:tcPr>
            <w:tcW w:type="dxa" w:w="4320"/>
          </w:tcPr>
          <w:p>
            <w:pPr>
              <w:spacing w:before="40" w:after="40"/>
            </w:pPr>
            <w:r>
              <w:rPr>
                <w:rFonts w:ascii="Calibri" w:hAnsi="Calibri"/>
              </w:rPr>
              <w:t>[Federal Agency]</w:t>
            </w:r>
          </w:p>
        </w:tc>
      </w:tr>
      <w:tr>
        <w:tc>
          <w:tcPr>
            <w:tcW w:type="dxa" w:w="4320"/>
          </w:tcPr>
          <w:p>
            <w:pPr>
              <w:spacing w:before="40" w:after="40"/>
            </w:pPr>
            <w:r>
              <w:rPr>
                <w:rFonts w:ascii="Calibri" w:hAnsi="Calibri"/>
              </w:rPr>
              <w:t>Contract Number</w:t>
            </w:r>
          </w:p>
        </w:tc>
        <w:tc>
          <w:tcPr>
            <w:tcW w:type="dxa" w:w="4320"/>
          </w:tcPr>
          <w:p>
            <w:pPr>
              <w:spacing w:before="40" w:after="40"/>
            </w:pPr>
            <w:r>
              <w:rPr>
                <w:rFonts w:ascii="Calibri" w:hAnsi="Calibri"/>
              </w:rPr>
              <w:t>[CONTRACT NUMBER — populate from my-company/]</w:t>
            </w:r>
          </w:p>
        </w:tc>
      </w:tr>
      <w:tr>
        <w:tc>
          <w:tcPr>
            <w:tcW w:type="dxa" w:w="4320"/>
          </w:tcPr>
          <w:p>
            <w:pPr>
              <w:spacing w:before="40" w:after="40"/>
            </w:pPr>
            <w:r>
              <w:rPr>
                <w:rFonts w:ascii="Calibri" w:hAnsi="Calibri"/>
              </w:rPr>
              <w:t>Period of Performance</w:t>
            </w:r>
          </w:p>
        </w:tc>
        <w:tc>
          <w:tcPr>
            <w:tcW w:type="dxa" w:w="4320"/>
          </w:tcPr>
          <w:p>
            <w:pPr>
              <w:spacing w:before="40" w:after="40"/>
            </w:pPr>
            <w:r>
              <w:rPr>
                <w:rFonts w:ascii="Calibri" w:hAnsi="Calibri"/>
              </w:rPr>
              <w:t>[DATES]</w:t>
            </w:r>
          </w:p>
        </w:tc>
      </w:tr>
      <w:tr>
        <w:tc>
          <w:tcPr>
            <w:tcW w:type="dxa" w:w="4320"/>
          </w:tcPr>
          <w:p>
            <w:pPr>
              <w:spacing w:before="40" w:after="40"/>
            </w:pPr>
            <w:r>
              <w:rPr>
                <w:rFonts w:ascii="Calibri" w:hAnsi="Calibri"/>
              </w:rPr>
              <w:t>Dollar Value</w:t>
            </w:r>
          </w:p>
        </w:tc>
        <w:tc>
          <w:tcPr>
            <w:tcW w:type="dxa" w:w="4320"/>
          </w:tcPr>
          <w:p>
            <w:pPr>
              <w:spacing w:before="40" w:after="40"/>
            </w:pPr>
            <w:r>
              <w:rPr>
                <w:rFonts w:ascii="Calibri" w:hAnsi="Calibri"/>
              </w:rPr>
              <w:t>[VALUE]</w:t>
            </w:r>
          </w:p>
        </w:tc>
      </w:tr>
      <w:tr>
        <w:tc>
          <w:tcPr>
            <w:tcW w:type="dxa" w:w="4320"/>
          </w:tcPr>
          <w:p>
            <w:pPr>
              <w:spacing w:before="40" w:after="40"/>
            </w:pPr>
            <w:r>
              <w:rPr>
                <w:rFonts w:ascii="Calibri" w:hAnsi="Calibri"/>
              </w:rPr>
              <w:t>NAICS</w:t>
            </w:r>
          </w:p>
        </w:tc>
        <w:tc>
          <w:tcPr>
            <w:tcW w:type="dxa" w:w="4320"/>
          </w:tcPr>
          <w:p>
            <w:pPr>
              <w:spacing w:before="40" w:after="40"/>
            </w:pPr>
            <w:r>
              <w:rPr>
                <w:rFonts w:ascii="Calibri" w:hAnsi="Calibri"/>
              </w:rPr>
              <w:t>541512</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Web GIS development, spatial analytics, interactive visualization, Section 508 accessibility</w:t>
            </w:r>
          </w:p>
        </w:tc>
      </w:tr>
    </w:tbl>
    <w:p/>
    <w:p>
      <w:pPr>
        <w:spacing w:before="0" w:after="120"/>
      </w:pPr>
      <w:r>
        <w:rPr>
          <w:rFonts w:ascii="Calibri" w:hAnsi="Calibri"/>
        </w:rPr>
        <w:t>Description: SpatialGIS designed and deployed an interactive web mapping portal for a federal client, integrating multiple data layers with filterable views, downloadable tables, and ArcGIS Online integration. Scope included indicator definition documentation, QA/QC scripting, and data publication workflows — scope highly comparable to VEHSS portal operations.</w:t>
      </w:r>
    </w:p>
    <w:p>
      <w:pPr>
        <w:spacing w:before="0" w:after="120"/>
      </w:pPr>
      <w:r>
        <w:rPr>
          <w:rFonts w:ascii="Calibri" w:hAnsi="Calibri"/>
          <w:b/>
        </w:rPr>
        <w:t>Engagement 3 — Public Health Spatial Analysis Support</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Agency</w:t>
            </w:r>
          </w:p>
        </w:tc>
        <w:tc>
          <w:tcPr>
            <w:tcW w:type="dxa" w:w="4320"/>
          </w:tcPr>
          <w:p>
            <w:pPr>
              <w:spacing w:before="40" w:after="40"/>
            </w:pPr>
            <w:r>
              <w:rPr>
                <w:rFonts w:ascii="Calibri" w:hAnsi="Calibri"/>
              </w:rPr>
              <w:t>[Federal or State Public Health Agency]</w:t>
            </w:r>
          </w:p>
        </w:tc>
      </w:tr>
      <w:tr>
        <w:tc>
          <w:tcPr>
            <w:tcW w:type="dxa" w:w="4320"/>
          </w:tcPr>
          <w:p>
            <w:pPr>
              <w:spacing w:before="40" w:after="40"/>
            </w:pPr>
            <w:r>
              <w:rPr>
                <w:rFonts w:ascii="Calibri" w:hAnsi="Calibri"/>
              </w:rPr>
              <w:t>Contract Number</w:t>
            </w:r>
          </w:p>
        </w:tc>
        <w:tc>
          <w:tcPr>
            <w:tcW w:type="dxa" w:w="4320"/>
          </w:tcPr>
          <w:p>
            <w:pPr>
              <w:spacing w:before="40" w:after="40"/>
            </w:pPr>
            <w:r>
              <w:rPr>
                <w:rFonts w:ascii="Calibri" w:hAnsi="Calibri"/>
              </w:rPr>
              <w:t>[CONTRACT NUMBER — populate from my-company/]</w:t>
            </w:r>
          </w:p>
        </w:tc>
      </w:tr>
      <w:tr>
        <w:tc>
          <w:tcPr>
            <w:tcW w:type="dxa" w:w="4320"/>
          </w:tcPr>
          <w:p>
            <w:pPr>
              <w:spacing w:before="40" w:after="40"/>
            </w:pPr>
            <w:r>
              <w:rPr>
                <w:rFonts w:ascii="Calibri" w:hAnsi="Calibri"/>
              </w:rPr>
              <w:t>Period of Performance</w:t>
            </w:r>
          </w:p>
        </w:tc>
        <w:tc>
          <w:tcPr>
            <w:tcW w:type="dxa" w:w="4320"/>
          </w:tcPr>
          <w:p>
            <w:pPr>
              <w:spacing w:before="40" w:after="40"/>
            </w:pPr>
            <w:r>
              <w:rPr>
                <w:rFonts w:ascii="Calibri" w:hAnsi="Calibri"/>
              </w:rPr>
              <w:t>[DATES]</w:t>
            </w:r>
          </w:p>
        </w:tc>
      </w:tr>
      <w:tr>
        <w:tc>
          <w:tcPr>
            <w:tcW w:type="dxa" w:w="4320"/>
          </w:tcPr>
          <w:p>
            <w:pPr>
              <w:spacing w:before="40" w:after="40"/>
            </w:pPr>
            <w:r>
              <w:rPr>
                <w:rFonts w:ascii="Calibri" w:hAnsi="Calibri"/>
              </w:rPr>
              <w:t>Dollar Value</w:t>
            </w:r>
          </w:p>
        </w:tc>
        <w:tc>
          <w:tcPr>
            <w:tcW w:type="dxa" w:w="4320"/>
          </w:tcPr>
          <w:p>
            <w:pPr>
              <w:spacing w:before="40" w:after="40"/>
            </w:pPr>
            <w:r>
              <w:rPr>
                <w:rFonts w:ascii="Calibri" w:hAnsi="Calibri"/>
              </w:rPr>
              <w:t>[VALUE]</w:t>
            </w:r>
          </w:p>
        </w:tc>
      </w:tr>
      <w:tr>
        <w:tc>
          <w:tcPr>
            <w:tcW w:type="dxa" w:w="4320"/>
          </w:tcPr>
          <w:p>
            <w:pPr>
              <w:spacing w:before="40" w:after="40"/>
            </w:pPr>
            <w:r>
              <w:rPr>
                <w:rFonts w:ascii="Calibri" w:hAnsi="Calibri"/>
              </w:rPr>
              <w:t>NAICS</w:t>
            </w:r>
          </w:p>
        </w:tc>
        <w:tc>
          <w:tcPr>
            <w:tcW w:type="dxa" w:w="4320"/>
          </w:tcPr>
          <w:p>
            <w:pPr>
              <w:spacing w:before="40" w:after="40"/>
            </w:pPr>
            <w:r>
              <w:rPr>
                <w:rFonts w:ascii="Calibri" w:hAnsi="Calibri"/>
              </w:rPr>
              <w:t>541370</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Epidemiological spatial analysis, choropleth mapping, rate calculations, county-level surveillance data</w:t>
            </w:r>
          </w:p>
        </w:tc>
      </w:tr>
    </w:tbl>
    <w:p/>
    <w:p>
      <w:pPr>
        <w:spacing w:before="0" w:after="120"/>
      </w:pPr>
      <w:r>
        <w:rPr>
          <w:rFonts w:ascii="Calibri" w:hAnsi="Calibri"/>
        </w:rPr>
        <w:t>Description: SpatialGIS analysts produced population-level spatial analyses of health indicators at the county level, applying small-cell suppression rules, age-standardized rates, and confidence interval calculations. Output was used in a public-facing health atlas — directly analogous to VEHSS indicator production.</w:t>
      </w:r>
    </w:p>
    <w:p>
      <w:pPr>
        <w:pStyle w:val="Heading2"/>
      </w:pPr>
      <w:r>
        <w:t>Section 6 — Key Personnel</w:t>
      </w:r>
    </w:p>
    <w:p>
      <w:pPr>
        <w:spacing w:before="0" w:after="120"/>
      </w:pPr>
      <w:r>
        <w:rPr>
          <w:rFonts w:ascii="Calibri" w:hAnsi="Calibri"/>
          <w:b/>
        </w:rPr>
        <w:t>Kendrick — Principal GIS Architect / Program Manager</w:t>
      </w:r>
    </w:p>
    <w:p>
      <w:pPr>
        <w:pStyle w:val="ListBullet"/>
        <w:ind w:left="360"/>
      </w:pPr>
      <w:r>
        <w:rPr>
          <w:rFonts w:ascii="Calibri" w:hAnsi="Calibri"/>
        </w:rPr>
        <w:t>GSA MAS program lead; direct client interface for all MRAS-sourced engagements</w:t>
      </w:r>
    </w:p>
    <w:p>
      <w:pPr>
        <w:pStyle w:val="ListBullet"/>
        <w:ind w:left="360"/>
      </w:pPr>
      <w:r>
        <w:rPr>
          <w:rFonts w:ascii="Calibri" w:hAnsi="Calibri"/>
        </w:rPr>
        <w:t>10+ years of federal GIS program experience</w:t>
      </w:r>
    </w:p>
    <w:p>
      <w:pPr>
        <w:pStyle w:val="ListBullet"/>
        <w:ind w:left="360"/>
      </w:pPr>
      <w:r>
        <w:rPr>
          <w:rFonts w:ascii="Calibri" w:hAnsi="Calibri"/>
        </w:rPr>
        <w:t>ArcGIS Platform (Pro, Enterprise, Online, Experience Builder); Python geospatial stack; PostGIS</w:t>
      </w:r>
    </w:p>
    <w:p>
      <w:pPr>
        <w:pStyle w:val="ListBullet"/>
        <w:ind w:left="360"/>
      </w:pPr>
      <w:r>
        <w:rPr>
          <w:rFonts w:ascii="Calibri" w:hAnsi="Calibri"/>
        </w:rPr>
        <w:t>FISMA/RMF process experience; ATO support</w:t>
      </w:r>
    </w:p>
    <w:p>
      <w:pPr>
        <w:pStyle w:val="ListBullet"/>
        <w:ind w:left="360"/>
      </w:pPr>
      <w:r>
        <w:rPr>
          <w:rFonts w:ascii="Calibri" w:hAnsi="Calibri"/>
        </w:rPr>
        <w:t>Contact: kendrick@spatialgisservices.com</w:t>
      </w:r>
    </w:p>
    <w:p>
      <w:pPr>
        <w:spacing w:before="0" w:after="120"/>
      </w:pPr>
      <w:r>
        <w:rPr>
          <w:rFonts w:ascii="Calibri" w:hAnsi="Calibri"/>
          <w:i/>
        </w:rPr>
        <w:t>[Additional key personnel details available upon request or in formal proposal response — populate from my-company/key-personnel/]</w:t>
      </w:r>
    </w:p>
    <w:p>
      <w:pPr>
        <w:pStyle w:val="Heading2"/>
      </w:pPr>
      <w:r>
        <w:t>Section 7 — Differentiators</w:t>
      </w:r>
    </w:p>
    <w:p>
      <w:pPr>
        <w:pStyle w:val="ListNumber"/>
        <w:ind w:left="360"/>
      </w:pPr>
      <w:r>
        <w:rPr>
          <w:rFonts w:ascii="Calibri" w:hAnsi="Calibri"/>
          <w:b/>
        </w:rPr>
        <w:t>GRASP-aligned geospatial specialization.</w:t>
      </w:r>
      <w:r>
        <w:rPr>
          <w:rFonts w:ascii="Calibri" w:hAnsi="Calibri"/>
        </w:rPr>
        <w:t xml:space="preserve"> SpatialGIS focuses specifically on geospatial IT services, not generic IT. VEHSS lives inside GRASP — a geospatial research program. Our firm's entire capability stack (ESRI platforms, PostGIS, Python spatial libraries, web mapping) maps directly to GRASP's toolset. No cross-training required.</w:t>
      </w:r>
    </w:p>
    <w:p>
      <w:pPr>
        <w:pStyle w:val="ListNumber"/>
        <w:ind w:left="360"/>
      </w:pPr>
      <w:r>
        <w:rPr>
          <w:rFonts w:ascii="Calibri" w:hAnsi="Calibri"/>
          <w:b/>
        </w:rPr>
        <w:t>Surveillance data continuity discipline.</w:t>
      </w:r>
      <w:r>
        <w:rPr>
          <w:rFonts w:ascii="Calibri" w:hAnsi="Calibri"/>
        </w:rPr>
        <w:t xml:space="preserve"> We understand that VEHSS continuity means more than keeping servers running — it means preserving the indicator definitions, suppression logic, data lineage documentation, and methodology reproducibility that make VEHSS scientifically defensible. We build change-controlled, documented workflows from day one.</w:t>
      </w:r>
    </w:p>
    <w:p>
      <w:pPr>
        <w:pStyle w:val="ListNumber"/>
        <w:ind w:left="360"/>
      </w:pPr>
      <w:r>
        <w:rPr>
          <w:rFonts w:ascii="Calibri" w:hAnsi="Calibri"/>
          <w:b/>
        </w:rPr>
        <w:t>CDC disclosure-compliant data handling.</w:t>
      </w:r>
      <w:r>
        <w:rPr>
          <w:rFonts w:ascii="Calibri" w:hAnsi="Calibri"/>
        </w:rPr>
        <w:t xml:space="preserve"> SpatialGIS applies CDC's small-cell suppression guidance and NCHS data use agreement provisions in all public health spatial analyses. We do not treat geographic health data as generic tabular data.</w:t>
      </w:r>
    </w:p>
    <w:p>
      <w:pPr>
        <w:pStyle w:val="ListNumber"/>
        <w:ind w:left="360"/>
      </w:pPr>
      <w:r>
        <w:rPr>
          <w:rFonts w:ascii="Calibri" w:hAnsi="Calibri"/>
          <w:b/>
        </w:rPr>
        <w:t>GSA MAS direct-award vehicle.</w:t>
      </w:r>
      <w:r>
        <w:rPr>
          <w:rFonts w:ascii="Calibri" w:hAnsi="Calibri"/>
        </w:rPr>
        <w:t xml:space="preserve"> Procurement under MAS SIN 54151S can be processed without full competition for tasks within the schedule threshold. This reduces procurement burden for CDC GRASP and enables rapid task order award.</w:t>
      </w:r>
    </w:p>
    <w:p>
      <w:pPr>
        <w:pStyle w:val="ListNumber"/>
        <w:ind w:left="360"/>
      </w:pPr>
      <w:r>
        <w:rPr>
          <w:rFonts w:ascii="Calibri" w:hAnsi="Calibri"/>
          <w:b/>
        </w:rPr>
        <w:t>Small Business / SDB flexibility.</w:t>
      </w:r>
      <w:r>
        <w:rPr>
          <w:rFonts w:ascii="Calibri" w:hAnsi="Calibri"/>
        </w:rPr>
        <w:t xml:space="preserve"> As a small business, SpatialGIS offers senior-level engagement without large-firm overhead. The principal geospatial architect on this engagement would be the same person the CO speaks with — no bait-and-switch after award.</w:t>
      </w:r>
    </w:p>
    <w:p>
      <w:pPr>
        <w:pStyle w:val="Heading2"/>
      </w:pPr>
      <w:r>
        <w:t>Section 8 — Cybersecurity and Compliance Posture</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Compliance Area</w:t>
            </w:r>
          </w:p>
        </w:tc>
        <w:tc>
          <w:tcPr>
            <w:tcW w:type="dxa" w:w="4320"/>
          </w:tcPr>
          <w:p>
            <w:pPr>
              <w:spacing w:before="40" w:after="40"/>
            </w:pPr>
            <w:r>
              <w:rPr>
                <w:rFonts w:ascii="Calibri" w:hAnsi="Calibri"/>
                <w:b/>
              </w:rPr>
              <w:t>SpatialGIS Status</w:t>
            </w:r>
          </w:p>
        </w:tc>
      </w:tr>
      <w:tr>
        <w:tc>
          <w:tcPr>
            <w:tcW w:type="dxa" w:w="4320"/>
          </w:tcPr>
          <w:p>
            <w:pPr>
              <w:spacing w:before="40" w:after="40"/>
            </w:pPr>
            <w:r>
              <w:rPr>
                <w:rFonts w:ascii="Calibri" w:hAnsi="Calibri"/>
              </w:rPr>
              <w:t>CMMC Level</w:t>
            </w:r>
          </w:p>
        </w:tc>
        <w:tc>
          <w:tcPr>
            <w:tcW w:type="dxa" w:w="4320"/>
          </w:tcPr>
          <w:p>
            <w:pPr>
              <w:spacing w:before="40" w:after="40"/>
            </w:pPr>
            <w:r>
              <w:rPr>
                <w:rFonts w:ascii="Calibri" w:hAnsi="Calibri"/>
              </w:rPr>
              <w:t>Level 2 practices implemented; C3PAO assessment pending (not yet certified)</w:t>
            </w:r>
          </w:p>
        </w:tc>
      </w:tr>
      <w:tr>
        <w:tc>
          <w:tcPr>
            <w:tcW w:type="dxa" w:w="4320"/>
          </w:tcPr>
          <w:p>
            <w:pPr>
              <w:spacing w:before="40" w:after="40"/>
            </w:pPr>
            <w:r>
              <w:rPr>
                <w:rFonts w:ascii="Calibri" w:hAnsi="Calibri"/>
              </w:rPr>
              <w:t>FISMA Compliance</w:t>
            </w:r>
          </w:p>
        </w:tc>
        <w:tc>
          <w:tcPr>
            <w:tcW w:type="dxa" w:w="4320"/>
          </w:tcPr>
          <w:p>
            <w:pPr>
              <w:spacing w:before="40" w:after="40"/>
            </w:pPr>
            <w:r>
              <w:rPr>
                <w:rFonts w:ascii="Calibri" w:hAnsi="Calibri"/>
              </w:rPr>
              <w:t>NIST SP 800-53 controls practiced; supports FedRAMP-authorized cloud deployments</w:t>
            </w:r>
          </w:p>
        </w:tc>
      </w:tr>
      <w:tr>
        <w:tc>
          <w:tcPr>
            <w:tcW w:type="dxa" w:w="4320"/>
          </w:tcPr>
          <w:p>
            <w:pPr>
              <w:spacing w:before="40" w:after="40"/>
            </w:pPr>
            <w:r>
              <w:rPr>
                <w:rFonts w:ascii="Calibri" w:hAnsi="Calibri"/>
              </w:rPr>
              <w:t>Cloud Infrastructure</w:t>
            </w:r>
          </w:p>
        </w:tc>
        <w:tc>
          <w:tcPr>
            <w:tcW w:type="dxa" w:w="4320"/>
          </w:tcPr>
          <w:p>
            <w:pPr>
              <w:spacing w:before="40" w:after="40"/>
            </w:pPr>
            <w:r>
              <w:rPr>
                <w:rFonts w:ascii="Calibri" w:hAnsi="Calibri"/>
              </w:rPr>
              <w:t>AWS GovCloud and Azure Government available</w:t>
            </w:r>
          </w:p>
        </w:tc>
      </w:tr>
      <w:tr>
        <w:tc>
          <w:tcPr>
            <w:tcW w:type="dxa" w:w="4320"/>
          </w:tcPr>
          <w:p>
            <w:pPr>
              <w:spacing w:before="40" w:after="40"/>
            </w:pPr>
            <w:r>
              <w:rPr>
                <w:rFonts w:ascii="Calibri" w:hAnsi="Calibri"/>
              </w:rPr>
              <w:t>FedRAMP Authorization</w:t>
            </w:r>
          </w:p>
        </w:tc>
        <w:tc>
          <w:tcPr>
            <w:tcW w:type="dxa" w:w="4320"/>
          </w:tcPr>
          <w:p>
            <w:pPr>
              <w:spacing w:before="40" w:after="40"/>
            </w:pPr>
            <w:r>
              <w:rPr>
                <w:rFonts w:ascii="Calibri" w:hAnsi="Calibri"/>
              </w:rPr>
              <w:t>Uses FedRAMP-authorized IaaS/PaaS (not a FedRAMP-authorized SaaS provider)</w:t>
            </w:r>
          </w:p>
        </w:tc>
      </w:tr>
      <w:tr>
        <w:tc>
          <w:tcPr>
            <w:tcW w:type="dxa" w:w="4320"/>
          </w:tcPr>
          <w:p>
            <w:pPr>
              <w:spacing w:before="40" w:after="40"/>
            </w:pPr>
            <w:r>
              <w:rPr>
                <w:rFonts w:ascii="Calibri" w:hAnsi="Calibri"/>
              </w:rPr>
              <w:t>Data Handling</w:t>
            </w:r>
          </w:p>
        </w:tc>
        <w:tc>
          <w:tcPr>
            <w:tcW w:type="dxa" w:w="4320"/>
          </w:tcPr>
          <w:p>
            <w:pPr>
              <w:spacing w:before="40" w:after="40"/>
            </w:pPr>
            <w:r>
              <w:rPr>
                <w:rFonts w:ascii="Calibri" w:hAnsi="Calibri"/>
              </w:rPr>
              <w:t>Follows CDC suppression guidelines, NCHS data use provisions; no individual-level PHI processing in proposed scope</w:t>
            </w:r>
          </w:p>
        </w:tc>
      </w:tr>
      <w:tr>
        <w:tc>
          <w:tcPr>
            <w:tcW w:type="dxa" w:w="4320"/>
          </w:tcPr>
          <w:p>
            <w:pPr>
              <w:spacing w:before="40" w:after="40"/>
            </w:pPr>
            <w:r>
              <w:rPr>
                <w:rFonts w:ascii="Calibri" w:hAnsi="Calibri"/>
              </w:rPr>
              <w:t>SAM.gov</w:t>
            </w:r>
          </w:p>
        </w:tc>
        <w:tc>
          <w:tcPr>
            <w:tcW w:type="dxa" w:w="4320"/>
          </w:tcPr>
          <w:p>
            <w:pPr>
              <w:spacing w:before="40" w:after="40"/>
            </w:pPr>
            <w:r>
              <w:rPr>
                <w:rFonts w:ascii="Calibri" w:hAnsi="Calibri"/>
              </w:rPr>
              <w:t>Active; no exclusions</w:t>
            </w:r>
          </w:p>
        </w:tc>
      </w:tr>
    </w:tbl>
    <w:p/>
    <w:p>
      <w:pPr>
        <w:spacing w:before="0" w:after="120"/>
      </w:pPr>
      <w:r>
        <w:rPr>
          <w:rFonts w:ascii="Calibri" w:hAnsi="Calibri"/>
        </w:rPr>
        <w:t>CDC systems typically require FISMA Moderate ATO. SpatialGIS has supported the full ATO lifecycle (SSP drafting, control testing, POA&amp;M management, continuous monitoring) on federal geospatial platforms. We operate on FedRAMP-authorized cloud infrastructure (AWS GovCloud, Azure Government) and have not found CDC GRASP ATO processes to require FedRAMP authorization from the contractor itself.</w:t>
      </w:r>
    </w:p>
    <w:p>
      <w:pPr>
        <w:pStyle w:val="Heading2"/>
      </w:pPr>
      <w:r>
        <w:t>Section 9 — Teaming</w:t>
      </w:r>
    </w:p>
    <w:p>
      <w:pPr>
        <w:spacing w:before="0" w:after="120"/>
      </w:pPr>
      <w:r>
        <w:rPr>
          <w:rFonts w:ascii="Calibri" w:hAnsi="Calibri"/>
        </w:rPr>
        <w:t>No teaming partner required for this opportunity. SpatialGIS provides the full geospatial IT capability stack needed for VEHSS support: data management, spatial analysis, web GIS development, QA/QC, and FISMA compliance support. If the resultant contract requires skills outside SpatialGIS's direct capability (e.g., dedicated clinical epidemiology biostatistics), we would identify a qualified subcontractor and disclose that in a formal proposal.</w:t>
      </w:r>
    </w:p>
    <w:p>
      <w:pPr>
        <w:pStyle w:val="Heading2"/>
      </w:pPr>
      <w:r>
        <w:t>Section 10 — Business Information</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Field</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Company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GSA Contract Vehicle</w:t>
            </w:r>
          </w:p>
        </w:tc>
        <w:tc>
          <w:tcPr>
            <w:tcW w:type="dxa" w:w="4320"/>
          </w:tcPr>
          <w:p>
            <w:pPr>
              <w:spacing w:before="40" w:after="40"/>
            </w:pPr>
            <w:r>
              <w:rPr>
                <w:rFonts w:ascii="Calibri" w:hAnsi="Calibri"/>
              </w:rPr>
              <w:t>GSA Multiple Award Schedule (MAS) 47QTCA24D00DS</w:t>
            </w:r>
          </w:p>
        </w:tc>
      </w:tr>
      <w:tr>
        <w:tc>
          <w:tcPr>
            <w:tcW w:type="dxa" w:w="4320"/>
          </w:tcPr>
          <w:p>
            <w:pPr>
              <w:spacing w:before="40" w:after="40"/>
            </w:pPr>
            <w:r>
              <w:rPr>
                <w:rFonts w:ascii="Calibri" w:hAnsi="Calibri"/>
              </w:rPr>
              <w:t>SIN</w:t>
            </w:r>
          </w:p>
        </w:tc>
        <w:tc>
          <w:tcPr>
            <w:tcW w:type="dxa" w:w="4320"/>
          </w:tcPr>
          <w:p>
            <w:pPr>
              <w:spacing w:before="40" w:after="40"/>
            </w:pPr>
            <w:r>
              <w:rPr>
                <w:rFonts w:ascii="Calibri" w:hAnsi="Calibri"/>
              </w:rPr>
              <w:t>54151S — IT Professional Services</w:t>
            </w:r>
          </w:p>
        </w:tc>
      </w:tr>
      <w:tr>
        <w:tc>
          <w:tcPr>
            <w:tcW w:type="dxa" w:w="4320"/>
          </w:tcPr>
          <w:p>
            <w:pPr>
              <w:spacing w:before="40" w:after="40"/>
            </w:pPr>
            <w:r>
              <w:rPr>
                <w:rFonts w:ascii="Calibri" w:hAnsi="Calibri"/>
              </w:rPr>
              <w:t>Primary NAICS</w:t>
            </w:r>
          </w:p>
        </w:tc>
        <w:tc>
          <w:tcPr>
            <w:tcW w:type="dxa" w:w="4320"/>
          </w:tcPr>
          <w:p>
            <w:pPr>
              <w:spacing w:before="40" w:after="40"/>
            </w:pPr>
            <w:r>
              <w:rPr>
                <w:rFonts w:ascii="Calibri" w:hAnsi="Calibri"/>
              </w:rPr>
              <w:t>541370</w:t>
            </w:r>
          </w:p>
        </w:tc>
      </w:tr>
      <w:tr>
        <w:tc>
          <w:tcPr>
            <w:tcW w:type="dxa" w:w="4320"/>
          </w:tcPr>
          <w:p>
            <w:pPr>
              <w:spacing w:before="40" w:after="40"/>
            </w:pPr>
            <w:r>
              <w:rPr>
                <w:rFonts w:ascii="Calibri" w:hAnsi="Calibri"/>
              </w:rPr>
              <w:t>Small Business</w:t>
            </w:r>
          </w:p>
        </w:tc>
        <w:tc>
          <w:tcPr>
            <w:tcW w:type="dxa" w:w="4320"/>
          </w:tcPr>
          <w:p>
            <w:pPr>
              <w:spacing w:before="40" w:after="40"/>
            </w:pPr>
            <w:r>
              <w:rPr>
                <w:rFonts w:ascii="Calibri" w:hAnsi="Calibri"/>
              </w:rPr>
              <w:t>Yes</w:t>
            </w:r>
          </w:p>
        </w:tc>
      </w:tr>
      <w:tr>
        <w:tc>
          <w:tcPr>
            <w:tcW w:type="dxa" w:w="4320"/>
          </w:tcPr>
          <w:p>
            <w:pPr>
              <w:spacing w:before="40" w:after="40"/>
            </w:pPr>
            <w:r>
              <w:rPr>
                <w:rFonts w:ascii="Calibri" w:hAnsi="Calibri"/>
              </w:rPr>
              <w:t>SDB</w:t>
            </w:r>
          </w:p>
        </w:tc>
        <w:tc>
          <w:tcPr>
            <w:tcW w:type="dxa" w:w="4320"/>
          </w:tcPr>
          <w:p>
            <w:pPr>
              <w:spacing w:before="40" w:after="40"/>
            </w:pPr>
            <w:r>
              <w:rPr>
                <w:rFonts w:ascii="Calibri" w:hAnsi="Calibri"/>
              </w:rPr>
              <w:t>Yes (Type d)</w:t>
            </w:r>
          </w:p>
        </w:tc>
      </w:tr>
      <w:tr>
        <w:tc>
          <w:tcPr>
            <w:tcW w:type="dxa" w:w="4320"/>
          </w:tcPr>
          <w:p>
            <w:pPr>
              <w:spacing w:before="40" w:after="40"/>
            </w:pPr>
            <w:r>
              <w:rPr>
                <w:rFonts w:ascii="Calibri" w:hAnsi="Calibri"/>
              </w:rPr>
              <w:t>HUBZone</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8(a)</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SDVOSB/VOSB</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WOSB/EDWOSB</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Estimated Lead Time</w:t>
            </w:r>
          </w:p>
        </w:tc>
        <w:tc>
          <w:tcPr>
            <w:tcW w:type="dxa" w:w="4320"/>
          </w:tcPr>
          <w:p>
            <w:pPr>
              <w:spacing w:before="40" w:after="40"/>
            </w:pPr>
            <w:r>
              <w:rPr>
                <w:rFonts w:ascii="Calibri" w:hAnsi="Calibri"/>
              </w:rPr>
              <w:t>4 weeks from task order award</w:t>
            </w:r>
          </w:p>
        </w:tc>
      </w:tr>
      <w:tr>
        <w:tc>
          <w:tcPr>
            <w:tcW w:type="dxa" w:w="4320"/>
          </w:tcPr>
          <w:p>
            <w:pPr>
              <w:spacing w:before="40" w:after="40"/>
            </w:pPr>
            <w:r>
              <w:rPr>
                <w:rFonts w:ascii="Calibri" w:hAnsi="Calibri"/>
              </w:rPr>
              <w:t>Subcontracting Plan</w:t>
            </w:r>
          </w:p>
        </w:tc>
        <w:tc>
          <w:tcPr>
            <w:tcW w:type="dxa" w:w="4320"/>
          </w:tcPr>
          <w:p>
            <w:pPr>
              <w:spacing w:before="40" w:after="40"/>
            </w:pPr>
            <w:r>
              <w:rPr>
                <w:rFonts w:ascii="Calibri" w:hAnsi="Calibri"/>
              </w:rPr>
              <w:t>Not applicable (small business)</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r>
        <w:tc>
          <w:tcPr>
            <w:tcW w:type="dxa" w:w="4320"/>
          </w:tcPr>
          <w:p>
            <w:pPr>
              <w:spacing w:before="40" w:after="40"/>
            </w:pPr>
            <w:r>
              <w:rPr>
                <w:rFonts w:ascii="Calibri" w:hAnsi="Calibri"/>
              </w:rPr>
              <w:t>POC Name</w:t>
            </w:r>
          </w:p>
        </w:tc>
        <w:tc>
          <w:tcPr>
            <w:tcW w:type="dxa" w:w="4320"/>
          </w:tcPr>
          <w:p>
            <w:pPr>
              <w:spacing w:before="40" w:after="40"/>
            </w:pPr>
            <w:r>
              <w:rPr>
                <w:rFonts w:ascii="Calibri" w:hAnsi="Calibri"/>
              </w:rPr>
              <w:t>Kendrick</w:t>
            </w:r>
          </w:p>
        </w:tc>
      </w:tr>
      <w:tr>
        <w:tc>
          <w:tcPr>
            <w:tcW w:type="dxa" w:w="4320"/>
          </w:tcPr>
          <w:p>
            <w:pPr>
              <w:spacing w:before="40" w:after="40"/>
            </w:pPr>
            <w:r>
              <w:rPr>
                <w:rFonts w:ascii="Calibri" w:hAnsi="Calibri"/>
              </w:rPr>
              <w:t>POC Email</w:t>
            </w:r>
          </w:p>
        </w:tc>
        <w:tc>
          <w:tcPr>
            <w:tcW w:type="dxa" w:w="4320"/>
          </w:tcPr>
          <w:p>
            <w:pPr>
              <w:spacing w:before="40" w:after="40"/>
            </w:pPr>
            <w:r>
              <w:rPr>
                <w:rFonts w:ascii="Calibri" w:hAnsi="Calibri"/>
              </w:rPr>
              <w:t>kendrick@spatialgisservices.com</w:t>
            </w:r>
          </w:p>
        </w:tc>
      </w:tr>
      <w:tr>
        <w:tc>
          <w:tcPr>
            <w:tcW w:type="dxa" w:w="4320"/>
          </w:tcPr>
          <w:p>
            <w:pPr>
              <w:spacing w:before="40" w:after="40"/>
            </w:pPr>
            <w:r>
              <w:rPr>
                <w:rFonts w:ascii="Calibri" w:hAnsi="Calibri"/>
              </w:rPr>
              <w:t>POC Phone</w:t>
            </w:r>
          </w:p>
        </w:tc>
        <w:tc>
          <w:tcPr>
            <w:tcW w:type="dxa" w:w="4320"/>
          </w:tcPr>
          <w:p>
            <w:pPr>
              <w:spacing w:before="40" w:after="40"/>
            </w:pPr>
            <w:r>
              <w:rPr>
                <w:rFonts w:ascii="Calibri" w:hAnsi="Calibri"/>
              </w:rPr>
              <w:t>[INSERT PHONE — populate from my-company/]</w:t>
            </w:r>
          </w:p>
        </w:tc>
      </w:tr>
    </w:tbl>
    <w:p/>
    <w:p>
      <w:pPr>
        <w:spacing w:before="0" w:after="120"/>
      </w:pPr>
      <w:r>
        <w:rPr>
          <w:rFonts w:ascii="Calibri" w:hAnsi="Calibri"/>
          <w:i/>
        </w:rPr>
        <w:t>Prepared by SpatialGIS automated MRAS pipeline — 2026-06-04</w:t>
      </w:r>
    </w:p>
    <w:p>
      <w:pPr>
        <w:spacing w:before="0" w:after="120"/>
      </w:pPr>
      <w:r>
        <w:rPr>
          <w:rFonts w:ascii="Calibri" w:hAnsi="Calibri"/>
          <w:i/>
        </w:rPr>
        <w:t>Survey submission blocked: feedback.gsa.gov returns HTTP 403 from cloud execution environment.</w:t>
      </w:r>
    </w:p>
    <w:p>
      <w:pPr>
        <w:spacing w:before="0" w:after="120"/>
      </w:pPr>
      <w:r>
        <w:rPr>
          <w:rFonts w:ascii="Calibri" w:hAnsi="Calibri"/>
          <w:i/>
        </w:rPr>
        <w:t>ACTION REQUIRED: Open survey at https://feedback.gsa.gov/jfe/form/SV_6tbG2Lwjd2D8L9c?Q_DL=c9xo2hp3oJ18RJN_6tbG2Lwjd2D8L9c_CGC_L0xGthkVhkdW6kC&amp;Q_CHL=email in browser and submit before June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