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cro-event-universe-1xw-trading"/>
    <w:p>
      <w:pPr>
        <w:pStyle w:val="Heading1"/>
      </w:pPr>
      <w:r>
        <w:t xml:space="preserve">Macro Event Universe – 1XW Trading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Define a clean, canonical set of macro events for the 1XW system, using only primary sources:</w:t>
      </w:r>
      <w:r>
        <w:t xml:space="preserve"> </w:t>
      </w:r>
      <w:r>
        <w:t xml:space="preserve">- US → BLS, BEA, Federal Reserve</w:t>
      </w:r>
      <w:r>
        <w:t xml:space="preserve"> </w:t>
      </w:r>
      <w:r>
        <w:t xml:space="preserve">- Euro Area → Eurostat, ECB</w:t>
      </w:r>
      <w:r>
        <w:t xml:space="preserve"> </w:t>
      </w:r>
      <w:r>
        <w:t xml:space="preserve">- China → NBS (National Bureau of Statistics)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united-states"/>
    <w:p>
      <w:pPr>
        <w:pStyle w:val="Heading1"/>
      </w:pPr>
      <w:r>
        <w:t xml:space="preserve">🇺🇸 United States</w:t>
      </w:r>
    </w:p>
    <w:bookmarkStart w:id="22" w:name="tier-1-core-market-drivers"/>
    <w:p>
      <w:pPr>
        <w:pStyle w:val="Heading2"/>
      </w:pPr>
      <w:r>
        <w:t xml:space="preserve">Tier 1 (Core Market Drivers)</w:t>
      </w:r>
    </w:p>
    <w:p>
      <w:pPr>
        <w:pStyle w:val="Compact"/>
        <w:numPr>
          <w:ilvl w:val="0"/>
          <w:numId w:val="1001"/>
        </w:numPr>
      </w:pPr>
      <w:r>
        <w:t xml:space="preserve">US Non-Farm Payrolls (BLS)</w:t>
      </w:r>
    </w:p>
    <w:p>
      <w:pPr>
        <w:pStyle w:val="Compact"/>
        <w:numPr>
          <w:ilvl w:val="0"/>
          <w:numId w:val="1001"/>
        </w:numPr>
      </w:pPr>
      <w:r>
        <w:t xml:space="preserve">US Unemployment Rate (BLS)</w:t>
      </w:r>
    </w:p>
    <w:p>
      <w:pPr>
        <w:pStyle w:val="Compact"/>
        <w:numPr>
          <w:ilvl w:val="0"/>
          <w:numId w:val="1001"/>
        </w:numPr>
      </w:pPr>
      <w:r>
        <w:t xml:space="preserve">US CPI (BLS)</w:t>
      </w:r>
    </w:p>
    <w:p>
      <w:pPr>
        <w:pStyle w:val="Compact"/>
        <w:numPr>
          <w:ilvl w:val="0"/>
          <w:numId w:val="1001"/>
        </w:numPr>
      </w:pPr>
      <w:r>
        <w:t xml:space="preserve">US Core CPI (BLS)</w:t>
      </w:r>
    </w:p>
    <w:p>
      <w:pPr>
        <w:pStyle w:val="Compact"/>
        <w:numPr>
          <w:ilvl w:val="0"/>
          <w:numId w:val="1001"/>
        </w:numPr>
      </w:pPr>
      <w:r>
        <w:t xml:space="preserve">US PPI (BLS)</w:t>
      </w:r>
    </w:p>
    <w:p>
      <w:pPr>
        <w:pStyle w:val="Compact"/>
        <w:numPr>
          <w:ilvl w:val="0"/>
          <w:numId w:val="1001"/>
        </w:numPr>
      </w:pPr>
      <w:r>
        <w:t xml:space="preserve">US GDP (BEA)</w:t>
      </w:r>
    </w:p>
    <w:p>
      <w:pPr>
        <w:pStyle w:val="Compact"/>
        <w:numPr>
          <w:ilvl w:val="0"/>
          <w:numId w:val="1001"/>
        </w:numPr>
      </w:pPr>
      <w:r>
        <w:t xml:space="preserve">US Personal Income &amp; Outlays / PCE (BEA)</w:t>
      </w:r>
    </w:p>
    <w:p>
      <w:pPr>
        <w:pStyle w:val="Compact"/>
        <w:numPr>
          <w:ilvl w:val="0"/>
          <w:numId w:val="1001"/>
        </w:numPr>
      </w:pPr>
      <w:r>
        <w:t xml:space="preserve">FOMC Rate Decision (Federal Reserve)</w:t>
      </w:r>
    </w:p>
    <w:bookmarkEnd w:id="22"/>
    <w:bookmarkStart w:id="23" w:name="tier-2-high-signal-secondary-data"/>
    <w:p>
      <w:pPr>
        <w:pStyle w:val="Heading2"/>
      </w:pPr>
      <w:r>
        <w:t xml:space="preserve">Tier 2 (High Signal Secondary Data)</w:t>
      </w:r>
    </w:p>
    <w:p>
      <w:pPr>
        <w:pStyle w:val="Compact"/>
        <w:numPr>
          <w:ilvl w:val="0"/>
          <w:numId w:val="1002"/>
        </w:numPr>
      </w:pPr>
      <w:r>
        <w:t xml:space="preserve">US Retail Sales (Census)</w:t>
      </w:r>
    </w:p>
    <w:p>
      <w:pPr>
        <w:pStyle w:val="Compact"/>
        <w:numPr>
          <w:ilvl w:val="0"/>
          <w:numId w:val="1002"/>
        </w:numPr>
      </w:pPr>
      <w:r>
        <w:t xml:space="preserve">US JOLTS Job Openings (BLS)</w:t>
      </w:r>
    </w:p>
    <w:p>
      <w:pPr>
        <w:pStyle w:val="Compact"/>
        <w:numPr>
          <w:ilvl w:val="0"/>
          <w:numId w:val="1002"/>
        </w:numPr>
      </w:pPr>
      <w:r>
        <w:t xml:space="preserve">US Import/Export Prices (BLS)</w:t>
      </w:r>
    </w:p>
    <w:p>
      <w:pPr>
        <w:pStyle w:val="Compact"/>
        <w:numPr>
          <w:ilvl w:val="0"/>
          <w:numId w:val="1002"/>
        </w:numPr>
      </w:pPr>
      <w:r>
        <w:t xml:space="preserve">US Trade Balance (BEA)</w:t>
      </w:r>
    </w:p>
    <w:p>
      <w:pPr>
        <w:pStyle w:val="Compact"/>
        <w:numPr>
          <w:ilvl w:val="0"/>
          <w:numId w:val="1002"/>
        </w:numPr>
      </w:pPr>
      <w:r>
        <w:t xml:space="preserve">ISM Manufacturing PMI</w:t>
      </w:r>
    </w:p>
    <w:p>
      <w:pPr>
        <w:pStyle w:val="Compact"/>
        <w:numPr>
          <w:ilvl w:val="0"/>
          <w:numId w:val="1002"/>
        </w:numPr>
      </w:pPr>
      <w:r>
        <w:t xml:space="preserve">ISM Services PMI</w:t>
      </w:r>
    </w:p>
    <w:p>
      <w:pPr>
        <w:pStyle w:val="Compact"/>
        <w:numPr>
          <w:ilvl w:val="0"/>
          <w:numId w:val="1002"/>
        </w:numPr>
      </w:pPr>
      <w:r>
        <w:t xml:space="preserve">Consumer Confidence (Conference Board)</w:t>
      </w:r>
    </w:p>
    <w:p>
      <w:pPr>
        <w:pStyle w:val="Compact"/>
        <w:numPr>
          <w:ilvl w:val="0"/>
          <w:numId w:val="1002"/>
        </w:numPr>
      </w:pPr>
      <w:r>
        <w:t xml:space="preserve">Housing Starts / Building Permits</w:t>
      </w:r>
    </w:p>
    <w:p>
      <w:pPr>
        <w:pStyle w:val="Compact"/>
        <w:numPr>
          <w:ilvl w:val="0"/>
          <w:numId w:val="1002"/>
        </w:numPr>
      </w:pPr>
      <w:r>
        <w:t xml:space="preserve">Durable Goods Orders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uro-area"/>
    <w:p>
      <w:pPr>
        <w:pStyle w:val="Heading1"/>
      </w:pPr>
      <w:r>
        <w:t xml:space="preserve">🇪🇺 Euro Area</w:t>
      </w:r>
    </w:p>
    <w:bookmarkStart w:id="25" w:name="tier-1-core-market-drivers-1"/>
    <w:p>
      <w:pPr>
        <w:pStyle w:val="Heading2"/>
      </w:pPr>
      <w:r>
        <w:t xml:space="preserve">Tier 1 (Core Market Drivers)</w:t>
      </w:r>
    </w:p>
    <w:p>
      <w:pPr>
        <w:pStyle w:val="Compact"/>
        <w:numPr>
          <w:ilvl w:val="0"/>
          <w:numId w:val="1003"/>
        </w:numPr>
      </w:pPr>
      <w:r>
        <w:t xml:space="preserve">Euro Area CPI Flash (Eurostat)</w:t>
      </w:r>
    </w:p>
    <w:p>
      <w:pPr>
        <w:pStyle w:val="Compact"/>
        <w:numPr>
          <w:ilvl w:val="0"/>
          <w:numId w:val="1003"/>
        </w:numPr>
      </w:pPr>
      <w:r>
        <w:t xml:space="preserve">Euro Area CPI Final (Eurostat)</w:t>
      </w:r>
    </w:p>
    <w:p>
      <w:pPr>
        <w:pStyle w:val="Compact"/>
        <w:numPr>
          <w:ilvl w:val="0"/>
          <w:numId w:val="1003"/>
        </w:numPr>
      </w:pPr>
      <w:r>
        <w:t xml:space="preserve">Euro Area GDP (Eurostat)</w:t>
      </w:r>
    </w:p>
    <w:p>
      <w:pPr>
        <w:pStyle w:val="Compact"/>
        <w:numPr>
          <w:ilvl w:val="0"/>
          <w:numId w:val="1003"/>
        </w:numPr>
      </w:pPr>
      <w:r>
        <w:t xml:space="preserve">Euro Area Unemployment (Eurostat)</w:t>
      </w:r>
    </w:p>
    <w:p>
      <w:pPr>
        <w:pStyle w:val="Compact"/>
        <w:numPr>
          <w:ilvl w:val="0"/>
          <w:numId w:val="1003"/>
        </w:numPr>
      </w:pPr>
      <w:r>
        <w:t xml:space="preserve">ECB Rate Decision (ECB)</w:t>
      </w:r>
    </w:p>
    <w:bookmarkEnd w:id="25"/>
    <w:bookmarkStart w:id="26" w:name="tier-2-high-signal-secondary-data-1"/>
    <w:p>
      <w:pPr>
        <w:pStyle w:val="Heading2"/>
      </w:pPr>
      <w:r>
        <w:t xml:space="preserve">Tier 2 (High Signal Secondary Data)</w:t>
      </w:r>
    </w:p>
    <w:p>
      <w:pPr>
        <w:pStyle w:val="Compact"/>
        <w:numPr>
          <w:ilvl w:val="0"/>
          <w:numId w:val="1004"/>
        </w:numPr>
      </w:pPr>
      <w:r>
        <w:t xml:space="preserve">Euro Area Industrial Production (Eurostat)</w:t>
      </w:r>
    </w:p>
    <w:p>
      <w:pPr>
        <w:pStyle w:val="Compact"/>
        <w:numPr>
          <w:ilvl w:val="0"/>
          <w:numId w:val="1004"/>
        </w:numPr>
      </w:pPr>
      <w:r>
        <w:t xml:space="preserve">Euro Area Retail Sales (Eurostat)</w:t>
      </w:r>
    </w:p>
    <w:p>
      <w:pPr>
        <w:pStyle w:val="Compact"/>
        <w:numPr>
          <w:ilvl w:val="0"/>
          <w:numId w:val="1004"/>
        </w:numPr>
      </w:pPr>
      <w:r>
        <w:t xml:space="preserve">Euro Area Trade Balance (Eurostat)</w:t>
      </w:r>
    </w:p>
    <w:p>
      <w:pPr>
        <w:pStyle w:val="Compact"/>
        <w:numPr>
          <w:ilvl w:val="0"/>
          <w:numId w:val="1004"/>
        </w:numPr>
      </w:pPr>
      <w:r>
        <w:t xml:space="preserve">Euro Area Economic Sentiment Indicators</w:t>
      </w:r>
    </w:p>
    <w:p>
      <w:pPr>
        <w:pStyle w:val="Compact"/>
        <w:numPr>
          <w:ilvl w:val="0"/>
          <w:numId w:val="1004"/>
        </w:numPr>
      </w:pPr>
      <w:r>
        <w:t xml:space="preserve">Euro Area PMI (Manufacturing / Services)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hina"/>
    <w:p>
      <w:pPr>
        <w:pStyle w:val="Heading1"/>
      </w:pPr>
      <w:r>
        <w:t xml:space="preserve">🇨🇳 China</w:t>
      </w:r>
    </w:p>
    <w:bookmarkStart w:id="28" w:name="tier-1-core-market-drivers-2"/>
    <w:p>
      <w:pPr>
        <w:pStyle w:val="Heading2"/>
      </w:pPr>
      <w:r>
        <w:t xml:space="preserve">Tier 1 (Core Market Drivers)</w:t>
      </w:r>
    </w:p>
    <w:p>
      <w:pPr>
        <w:pStyle w:val="Compact"/>
        <w:numPr>
          <w:ilvl w:val="0"/>
          <w:numId w:val="1005"/>
        </w:numPr>
      </w:pPr>
      <w:r>
        <w:t xml:space="preserve">China CPI (NBS)</w:t>
      </w:r>
    </w:p>
    <w:p>
      <w:pPr>
        <w:pStyle w:val="Compact"/>
        <w:numPr>
          <w:ilvl w:val="0"/>
          <w:numId w:val="1005"/>
        </w:numPr>
      </w:pPr>
      <w:r>
        <w:t xml:space="preserve">China PPI (NBS)</w:t>
      </w:r>
    </w:p>
    <w:p>
      <w:pPr>
        <w:pStyle w:val="Compact"/>
        <w:numPr>
          <w:ilvl w:val="0"/>
          <w:numId w:val="1005"/>
        </w:numPr>
      </w:pPr>
      <w:r>
        <w:t xml:space="preserve">China PMI (NBS)</w:t>
      </w:r>
    </w:p>
    <w:p>
      <w:pPr>
        <w:pStyle w:val="Compact"/>
        <w:numPr>
          <w:ilvl w:val="0"/>
          <w:numId w:val="1005"/>
        </w:numPr>
      </w:pPr>
      <w:r>
        <w:t xml:space="preserve">China Industrial Production (NBS)</w:t>
      </w:r>
    </w:p>
    <w:p>
      <w:pPr>
        <w:pStyle w:val="Compact"/>
        <w:numPr>
          <w:ilvl w:val="0"/>
          <w:numId w:val="1005"/>
        </w:numPr>
      </w:pPr>
      <w:r>
        <w:t xml:space="preserve">China Retail Sales (NBS)</w:t>
      </w:r>
    </w:p>
    <w:p>
      <w:pPr>
        <w:pStyle w:val="Compact"/>
        <w:numPr>
          <w:ilvl w:val="0"/>
          <w:numId w:val="1005"/>
        </w:numPr>
      </w:pPr>
      <w:r>
        <w:t xml:space="preserve">China Fixed Asset Investment (NBS)</w:t>
      </w:r>
    </w:p>
    <w:p>
      <w:pPr>
        <w:pStyle w:val="Compact"/>
        <w:numPr>
          <w:ilvl w:val="0"/>
          <w:numId w:val="1005"/>
        </w:numPr>
      </w:pPr>
      <w:r>
        <w:t xml:space="preserve">China National Economic Performance (NBS)</w:t>
      </w:r>
    </w:p>
    <w:bookmarkEnd w:id="28"/>
    <w:bookmarkStart w:id="29" w:name="tier-2-high-signal-secondary-data-2"/>
    <w:p>
      <w:pPr>
        <w:pStyle w:val="Heading2"/>
      </w:pPr>
      <w:r>
        <w:t xml:space="preserve">Tier 2 (High Signal Secondary Data)</w:t>
      </w:r>
    </w:p>
    <w:p>
      <w:pPr>
        <w:pStyle w:val="Compact"/>
        <w:numPr>
          <w:ilvl w:val="0"/>
          <w:numId w:val="1006"/>
        </w:numPr>
      </w:pPr>
      <w:r>
        <w:t xml:space="preserve">China House Prices</w:t>
      </w:r>
    </w:p>
    <w:p>
      <w:pPr>
        <w:pStyle w:val="Compact"/>
        <w:numPr>
          <w:ilvl w:val="0"/>
          <w:numId w:val="1006"/>
        </w:numPr>
      </w:pPr>
      <w:r>
        <w:t xml:space="preserve">China Trade Balance</w:t>
      </w:r>
    </w:p>
    <w:p>
      <w:pPr>
        <w:pStyle w:val="Compact"/>
        <w:numPr>
          <w:ilvl w:val="0"/>
          <w:numId w:val="1006"/>
        </w:numPr>
      </w:pPr>
      <w:r>
        <w:t xml:space="preserve">China Credit / Total Social Financing (TSF)</w:t>
      </w:r>
    </w:p>
    <w:p>
      <w:pPr>
        <w:pStyle w:val="Compact"/>
        <w:numPr>
          <w:ilvl w:val="0"/>
          <w:numId w:val="1006"/>
        </w:numPr>
      </w:pPr>
      <w:r>
        <w:t xml:space="preserve">China New Loans</w:t>
      </w:r>
    </w:p>
    <w:p>
      <w:pPr>
        <w:pStyle w:val="Compact"/>
        <w:numPr>
          <w:ilvl w:val="0"/>
          <w:numId w:val="1006"/>
        </w:numPr>
      </w:pPr>
      <w:r>
        <w:t xml:space="preserve">China Manufacturing / Non-Manufacturing PMI split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sign-principles"/>
    <w:p>
      <w:pPr>
        <w:pStyle w:val="Heading1"/>
      </w:pPr>
      <w:r>
        <w:t xml:space="preserve">Design Principles</w:t>
      </w:r>
    </w:p>
    <w:p>
      <w:pPr>
        <w:pStyle w:val="Compact"/>
        <w:numPr>
          <w:ilvl w:val="0"/>
          <w:numId w:val="1007"/>
        </w:numPr>
      </w:pPr>
      <w:r>
        <w:t xml:space="preserve">One primary source per event</w:t>
      </w:r>
    </w:p>
    <w:p>
      <w:pPr>
        <w:pStyle w:val="Compact"/>
        <w:numPr>
          <w:ilvl w:val="0"/>
          <w:numId w:val="1007"/>
        </w:numPr>
      </w:pPr>
      <w:r>
        <w:t xml:space="preserve">No duplicate event generation across sources</w:t>
      </w:r>
    </w:p>
    <w:p>
      <w:pPr>
        <w:pStyle w:val="Compact"/>
        <w:numPr>
          <w:ilvl w:val="0"/>
          <w:numId w:val="1007"/>
        </w:numPr>
      </w:pPr>
      <w:r>
        <w:t xml:space="preserve">Canonical event naming (fixed titles)</w:t>
      </w:r>
    </w:p>
    <w:p>
      <w:pPr>
        <w:pStyle w:val="Compact"/>
        <w:numPr>
          <w:ilvl w:val="0"/>
          <w:numId w:val="1007"/>
        </w:numPr>
      </w:pPr>
      <w:r>
        <w:t xml:space="preserve">Event-driven architecture (not source-driven)</w:t>
      </w:r>
    </w:p>
    <w:p>
      <w:pPr>
        <w:pStyle w:val="Compact"/>
        <w:numPr>
          <w:ilvl w:val="0"/>
          <w:numId w:val="1007"/>
        </w:numPr>
      </w:pPr>
      <w:r>
        <w:t xml:space="preserve">Weekly relevance filter applied after extraction</w:t>
      </w:r>
    </w:p>
    <w:p>
      <w:r>
        <w:pict>
          <v:rect style="width:0;height:1.5pt" o:hralign="center" o:hrstd="t" o:hr="t"/>
        </w:pict>
      </w:r>
    </w:p>
    <w:bookmarkEnd w:id="31"/>
    <w:bookmarkStart w:id="32" w:name="notes"/>
    <w:p>
      <w:pPr>
        <w:pStyle w:val="Heading1"/>
      </w:pPr>
      <w:r>
        <w:t xml:space="preserve">Notes</w:t>
      </w:r>
    </w:p>
    <w:p>
      <w:pPr>
        <w:pStyle w:val="Compact"/>
        <w:numPr>
          <w:ilvl w:val="0"/>
          <w:numId w:val="1008"/>
        </w:numPr>
      </w:pPr>
      <w:r>
        <w:t xml:space="preserve">ECB is used only for monetary policy (not inflation duplication)</w:t>
      </w:r>
    </w:p>
    <w:p>
      <w:pPr>
        <w:pStyle w:val="Compact"/>
        <w:numPr>
          <w:ilvl w:val="0"/>
          <w:numId w:val="1008"/>
        </w:numPr>
      </w:pPr>
      <w:r>
        <w:t xml:space="preserve">Eurostat is the sole source for Euro Area macro data</w:t>
      </w:r>
    </w:p>
    <w:p>
      <w:pPr>
        <w:pStyle w:val="Compact"/>
        <w:numPr>
          <w:ilvl w:val="0"/>
          <w:numId w:val="1008"/>
        </w:numPr>
      </w:pPr>
      <w:r>
        <w:t xml:space="preserve">BLS/BEA/Fed cover all US macro</w:t>
      </w:r>
    </w:p>
    <w:p>
      <w:pPr>
        <w:pStyle w:val="Compact"/>
        <w:numPr>
          <w:ilvl w:val="0"/>
          <w:numId w:val="1008"/>
        </w:numPr>
      </w:pPr>
      <w:r>
        <w:t xml:space="preserve">NBS covers all China macro</w:t>
      </w:r>
    </w:p>
    <w:p>
      <w:pPr>
        <w:pStyle w:val="FirstParagraph"/>
      </w:pPr>
      <w:r>
        <w:t xml:space="preserve">This file defines the stable macro universe for the 1XW system.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2026-03-31T16:03:00Z</dcterms:created>
  <dcterms:modified xsi:type="dcterms:W3CDTF">2026-03-31T16:03:00Z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