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400"/>
              <w:left w:type="dxa" w:w="400"/>
              <w:bottom w:type="dxa" w:w="400"/>
              <w:right w:type="dxa" w:w="400"/>
            </w:tcMar>
          </w:tcPr>
          <w:p>
            <w:pPr>
              <w:spacing w:after="80" w:before="0"/>
              <w:jc w:val="left"/>
            </w:pPr>
            <w:r>
              <w:rPr>
                <w:rFonts w:ascii="Arial" w:cs="Arial" w:eastAsia="Arial" w:hAnsi="Arial"/>
                <w:b w:val="false"/>
                <w:bCs w:val="false"/>
                <w:color w:val="B0C8E8"/>
                <w:sz w:val="20"/>
                <w:szCs w:val="20"/>
              </w:rPr>
              <w:t xml:space="preserve">TechVault MSP</w:t>
            </w:r>
          </w:p>
          <w:p>
            <w:pPr>
              <w:spacing w:after="160" w:before="0"/>
              <w:jc w:val="left"/>
            </w:pPr>
            <w:r>
              <w:rPr>
                <w:rFonts w:ascii="Arial" w:cs="Arial" w:eastAsia="Arial" w:hAnsi="Arial"/>
                <w:b/>
                <w:bCs/>
                <w:color w:val="FFFFFF"/>
                <w:sz w:val="40"/>
                <w:szCs w:val="40"/>
              </w:rPr>
              <w:t xml:space="preserve">Enterprise RAG Intelligence Hub</w:t>
            </w:r>
          </w:p>
          <w:p>
            <w:pPr>
              <w:spacing w:after="80" w:before="0"/>
              <w:jc w:val="left"/>
            </w:pPr>
            <w:r>
              <w:rPr>
                <w:rFonts w:ascii="Arial" w:cs="Arial" w:eastAsia="Arial" w:hAnsi="Arial"/>
                <w:color w:val="B0C8E8"/>
                <w:sz w:val="28"/>
                <w:szCs w:val="28"/>
              </w:rPr>
              <w:t xml:space="preserve">Review &amp; Improvement Brief for Leadership</w:t>
            </w:r>
          </w:p>
          <w:p>
            <w:pPr>
              <w:spacing w:after="0" w:before="0"/>
              <w:jc w:val="left"/>
            </w:pPr>
            <w:r>
              <w:rPr>
                <w:rFonts w:ascii="Arial" w:cs="Arial" w:eastAsia="Arial" w:hAnsi="Arial"/>
                <w:color w:val="8AAED0"/>
                <w:sz w:val="20"/>
                <w:szCs w:val="20"/>
              </w:rPr>
              <w:t xml:space="preserve">AI &amp; Automation Engineering  |  March 17, 2026</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Pr>
          <w:p/>
        </w:tc>
        <w:tc>
          <w:tcPr>
            <w:tcW w:type="dxa" w:w="9160"/>
            <w:tcBorders>
              <w:top w:val="none" w:color="FFFFFF" w:sz="0"/>
              <w:left w:val="none" w:color="FFFFFF" w:sz="0"/>
              <w:bottom w:val="none" w:color="FFFFFF" w:sz="0"/>
              <w:right w:val="none" w:color="FFFFFF" w:sz="0"/>
            </w:tcBorders>
            <w:shd w:fill="F5F7FA" w:val="clear"/>
            <w:tcMar>
              <w:top w:type="dxa" w:w="120"/>
              <w:left w:type="dxa" w:w="200"/>
              <w:bottom w:type="dxa" w:w="120"/>
              <w:right w:type="dxa" w:w="200"/>
            </w:tcMar>
          </w:tcPr>
          <w:p>
            <w:pPr>
              <w:spacing w:after="40" w:before="0"/>
            </w:pPr>
            <w:r>
              <w:rPr>
                <w:rFonts w:ascii="Arial" w:cs="Arial" w:eastAsia="Arial" w:hAnsi="Arial"/>
                <w:b/>
                <w:bCs/>
                <w:color w:val="1B3A6B"/>
                <w:sz w:val="20"/>
                <w:szCs w:val="20"/>
              </w:rPr>
              <w:t xml:space="preserve">Audience &amp; Purpose</w:t>
            </w:r>
          </w:p>
          <w:p>
            <w:pPr>
              <w:spacing w:after="40" w:before="0"/>
            </w:pPr>
            <w:r>
              <w:rPr>
                <w:rFonts w:ascii="Arial" w:cs="Arial" w:eastAsia="Arial" w:hAnsi="Arial"/>
                <w:color w:val="1A1A1A"/>
                <w:sz w:val="20"/>
                <w:szCs w:val="20"/>
              </w:rPr>
              <w:t xml:space="preserve">This document is prepared for senior leadership at TechVault MSP ahead of the Thursday strategy discussion. It provides an honest technical review of the current Enterprise RAG Intelligence Hub, maps the implementation against learnings from the recent AI &amp; Automation conference, and proposes concrete enhancements across three strategic themes.</w:t>
            </w:r>
          </w:p>
          <w:p>
            <w:pPr>
              <w:spacing w:after="0" w:before="0"/>
            </w:pPr>
            <w:r>
              <w:rPr>
                <w:rFonts w:ascii="Arial" w:cs="Arial" w:eastAsia="Arial" w:hAnsi="Arial"/>
                <w:i/>
                <w:iCs/>
                <w:color w:val="5A5A5A"/>
                <w:sz w:val="18"/>
                <w:szCs w:val="18"/>
              </w:rPr>
              <w:t xml:space="preserve">Author: AI &amp; Automation Engineer  |  Prepared: March 17, 2026  |  Classification: Internal</w:t>
            </w:r>
          </w:p>
        </w:tc>
      </w:tr>
    </w:tbl>
    <w:p>
      <w:pPr>
        <w:spacing w:after="120" w:before="240"/>
      </w:pPr>
    </w:p>
    <w:p>
      <w:pPr>
        <w:pStyle w:val="Heading1"/>
        <w:spacing w:after="120" w:before="320"/>
      </w:pPr>
      <w:r>
        <w:rPr>
          <w:rFonts w:ascii="Arial" w:cs="Arial" w:eastAsia="Arial" w:hAnsi="Arial"/>
          <w:b/>
          <w:bCs/>
          <w:color w:val="1B3A6B"/>
          <w:sz w:val="32"/>
          <w:szCs w:val="32"/>
        </w:rPr>
        <w:t xml:space="preserve">Executive Summary</w:t>
      </w:r>
    </w:p>
    <w:p>
      <w:pPr>
        <w:pBdr>
          <w:bottom w:val="single" w:color="2E75B6" w:sz="8" w:space="1"/>
        </w:pBdr>
        <w:spacing w:after="120" w:before="0"/>
      </w:pPr>
    </w:p>
    <w:p>
      <w:pPr>
        <w:spacing w:after="120" w:before="40"/>
      </w:pPr>
      <w:r>
        <w:rPr>
          <w:rFonts w:ascii="Arial" w:cs="Arial" w:eastAsia="Arial" w:hAnsi="Arial"/>
          <w:color w:val="1A1A1A"/>
          <w:sz w:val="22"/>
          <w:szCs w:val="22"/>
        </w:rPr>
        <w:t xml:space="preserve">The TechVault MSP Enterprise RAG Intelligence Hub is a production-grade, 6-stage pipeline that demonstrates the full arc from data ingestion to multi-agent decision support over both AI/ML research and synthetic MSP back-office data. The platform is already ahead of most MSP peers in its architectural sophistication.</w:t>
      </w:r>
    </w:p>
    <w:p>
      <w:pPr>
        <w:spacing w:after="80" w:before="0"/>
      </w:pPr>
    </w:p>
    <w:p>
      <w:pPr>
        <w:spacing w:after="120" w:before="40"/>
      </w:pPr>
      <w:r>
        <w:rPr>
          <w:rFonts w:ascii="Arial" w:cs="Arial" w:eastAsia="Arial" w:hAnsi="Arial"/>
          <w:color w:val="1A1A1A"/>
          <w:sz w:val="22"/>
          <w:szCs w:val="22"/>
        </w:rPr>
        <w:t xml:space="preserve">However, a recent AI &amp; Automation engineering conference surfaced three areas where the current build can be materially strengthened before it is presented to clients or expanded across teams. These areas are: (1) security hardening for agentic systems, (2) context rot mitigation, and (3) positioning TechVault on the road to becoming an AI-native MSP.</w:t>
      </w:r>
    </w:p>
    <w:p>
      <w:pPr>
        <w:spacing w:after="80" w:before="0"/>
      </w:pPr>
    </w:p>
    <w:p>
      <w:pPr>
        <w:spacing w:after="120" w:before="40"/>
      </w:pPr>
      <w:r>
        <w:rPr>
          <w:rFonts w:ascii="Arial" w:cs="Arial" w:eastAsia="Arial" w:hAnsi="Arial"/>
          <w:color w:val="1A1A1A"/>
          <w:sz w:val="22"/>
          <w:szCs w:val="22"/>
        </w:rPr>
        <w:t xml:space="preserve">The conference’s core message was unambiguous: agentic AI only becomes enterprise-grade when capability is paired with governance — specifically evaluation, security, context discipline, observability, and scalable orchestration. This brief maps that message directly onto the existing codebase and proposes what to build next.</w:t>
      </w:r>
    </w:p>
    <w:p>
      <w:pPr>
        <w:spacing w:after="120" w:before="0"/>
      </w:pPr>
    </w:p>
    <w:p>
      <w:pPr>
        <w:pStyle w:val="Heading2"/>
        <w:spacing w:after="80" w:before="240"/>
      </w:pPr>
      <w:r>
        <w:rPr>
          <w:rFonts w:ascii="Arial" w:cs="Arial" w:eastAsia="Arial" w:hAnsi="Arial"/>
          <w:b/>
          <w:bCs/>
          <w:color w:val="2E75B6"/>
          <w:sz w:val="26"/>
          <w:szCs w:val="26"/>
        </w:rPr>
        <w:t xml:space="preserve">Current Build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Capability Area</w:t>
            </w:r>
          </w:p>
        </w:tc>
        <w:tc>
          <w:tcPr>
            <w:tcW w:type="dxa" w:w="240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376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Gap</w:t>
            </w:r>
          </w:p>
        </w:tc>
      </w:tr>
      <w:tr>
        <w:tc>
          <w:tcPr>
            <w:tcW w:type="dxa" w:w="32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Hybrid RAG Pipeline (FAISS + BM25 + RRF)</w:t>
            </w:r>
          </w:p>
        </w:tc>
        <w:tc>
          <w:tcPr>
            <w:tcW w:type="dxa" w:w="2400"/>
            <w:tcBorders>
              <w:top w:val="single" w:color="D0DAE8" w:sz="1"/>
              <w:left w:val="single" w:color="D0DAE8" w:sz="1"/>
              <w:bottom w:val="single" w:color="D0DAE8" w:sz="1"/>
              <w:right w:val="single" w:color="D0DAE8" w:sz="1"/>
            </w:tcBorders>
            <w:shd w:fill="E8F5E9" w:val="clear"/>
            <w:tcMar>
              <w:top w:type="dxa" w:w="80"/>
              <w:left w:type="dxa" w:w="120"/>
              <w:bottom w:type="dxa" w:w="80"/>
              <w:right w:type="dxa" w:w="120"/>
            </w:tcMar>
            <w:vAlign w:val="center"/>
          </w:tcPr>
          <w:p>
            <w:pPr>
              <w:spacing w:after="0" w:before="0"/>
              <w:jc w:val="left"/>
            </w:pPr>
            <w:r>
              <w:rPr>
                <w:rFonts w:ascii="Arial" w:cs="Arial" w:eastAsia="Arial" w:hAnsi="Arial"/>
                <w:b/>
                <w:bCs/>
                <w:color w:val="2E7D32"/>
                <w:sz w:val="20"/>
                <w:szCs w:val="20"/>
              </w:rPr>
              <w:t xml:space="preserve">Implemented</w:t>
            </w:r>
          </w:p>
        </w:tc>
        <w:tc>
          <w:tcPr>
            <w:tcW w:type="dxa" w:w="376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No automated index freshness refresh</w:t>
            </w:r>
          </w:p>
        </w:tc>
      </w:tr>
      <w:tr>
        <w:tc>
          <w:tcPr>
            <w:tcW w:type="dxa" w:w="32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Agent Security Gateway (ASG)</w:t>
            </w:r>
          </w:p>
        </w:tc>
        <w:tc>
          <w:tcPr>
            <w:tcW w:type="dxa" w:w="2400"/>
            <w:tcBorders>
              <w:top w:val="single" w:color="D0DAE8" w:sz="1"/>
              <w:left w:val="single" w:color="D0DAE8" w:sz="1"/>
              <w:bottom w:val="single" w:color="D0DAE8" w:sz="1"/>
              <w:right w:val="single" w:color="D0DAE8" w:sz="1"/>
            </w:tcBorders>
            <w:shd w:fill="E8F5E9" w:val="clear"/>
            <w:tcMar>
              <w:top w:type="dxa" w:w="80"/>
              <w:left w:type="dxa" w:w="120"/>
              <w:bottom w:type="dxa" w:w="80"/>
              <w:right w:type="dxa" w:w="120"/>
            </w:tcMar>
            <w:vAlign w:val="center"/>
          </w:tcPr>
          <w:p>
            <w:pPr>
              <w:spacing w:after="0" w:before="0"/>
              <w:jc w:val="left"/>
            </w:pPr>
            <w:r>
              <w:rPr>
                <w:rFonts w:ascii="Arial" w:cs="Arial" w:eastAsia="Arial" w:hAnsi="Arial"/>
                <w:b/>
                <w:bCs/>
                <w:color w:val="2E7D32"/>
                <w:sz w:val="20"/>
                <w:szCs w:val="20"/>
              </w:rPr>
              <w:t xml:space="preserve">Implemented</w:t>
            </w:r>
          </w:p>
        </w:tc>
        <w:tc>
          <w:tcPr>
            <w:tcW w:type="dxa" w:w="376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No rate limiting; regex-only injection detection</w:t>
            </w:r>
          </w:p>
        </w:tc>
      </w:tr>
      <w:tr>
        <w:tc>
          <w:tcPr>
            <w:tcW w:type="dxa" w:w="32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ABAC Policy Engine + Audit Log</w:t>
            </w:r>
          </w:p>
        </w:tc>
        <w:tc>
          <w:tcPr>
            <w:tcW w:type="dxa" w:w="2400"/>
            <w:tcBorders>
              <w:top w:val="single" w:color="D0DAE8" w:sz="1"/>
              <w:left w:val="single" w:color="D0DAE8" w:sz="1"/>
              <w:bottom w:val="single" w:color="D0DAE8" w:sz="1"/>
              <w:right w:val="single" w:color="D0DAE8" w:sz="1"/>
            </w:tcBorders>
            <w:shd w:fill="E8F5E9" w:val="clear"/>
            <w:tcMar>
              <w:top w:type="dxa" w:w="80"/>
              <w:left w:type="dxa" w:w="120"/>
              <w:bottom w:type="dxa" w:w="80"/>
              <w:right w:type="dxa" w:w="120"/>
            </w:tcMar>
            <w:vAlign w:val="center"/>
          </w:tcPr>
          <w:p>
            <w:pPr>
              <w:spacing w:after="0" w:before="0"/>
              <w:jc w:val="left"/>
            </w:pPr>
            <w:r>
              <w:rPr>
                <w:rFonts w:ascii="Arial" w:cs="Arial" w:eastAsia="Arial" w:hAnsi="Arial"/>
                <w:b/>
                <w:bCs/>
                <w:color w:val="2E7D32"/>
                <w:sz w:val="20"/>
                <w:szCs w:val="20"/>
              </w:rPr>
              <w:t xml:space="preserve">Implemented</w:t>
            </w:r>
          </w:p>
        </w:tc>
        <w:tc>
          <w:tcPr>
            <w:tcW w:type="dxa" w:w="376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Dev HMAC key in production; no step-up auth</w:t>
            </w:r>
          </w:p>
        </w:tc>
      </w:tr>
      <w:tr>
        <w:tc>
          <w:tcPr>
            <w:tcW w:type="dxa" w:w="32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Context Manager (3-tier + LIM mitigation)</w:t>
            </w:r>
          </w:p>
        </w:tc>
        <w:tc>
          <w:tcPr>
            <w:tcW w:type="dxa" w:w="2400"/>
            <w:tcBorders>
              <w:top w:val="single" w:color="D0DAE8" w:sz="1"/>
              <w:left w:val="single" w:color="D0DAE8" w:sz="1"/>
              <w:bottom w:val="single" w:color="D0DAE8" w:sz="1"/>
              <w:right w:val="single" w:color="D0DAE8" w:sz="1"/>
            </w:tcBorders>
            <w:shd w:fill="E8F5E9" w:val="clear"/>
            <w:tcMar>
              <w:top w:type="dxa" w:w="80"/>
              <w:left w:type="dxa" w:w="120"/>
              <w:bottom w:type="dxa" w:w="80"/>
              <w:right w:type="dxa" w:w="120"/>
            </w:tcMar>
            <w:vAlign w:val="center"/>
          </w:tcPr>
          <w:p>
            <w:pPr>
              <w:spacing w:after="0" w:before="0"/>
              <w:jc w:val="left"/>
            </w:pPr>
            <w:r>
              <w:rPr>
                <w:rFonts w:ascii="Arial" w:cs="Arial" w:eastAsia="Arial" w:hAnsi="Arial"/>
                <w:b/>
                <w:bCs/>
                <w:color w:val="2E7D32"/>
                <w:sz w:val="20"/>
                <w:szCs w:val="20"/>
              </w:rPr>
              <w:t xml:space="preserve">Implemented</w:t>
            </w:r>
          </w:p>
        </w:tc>
        <w:tc>
          <w:tcPr>
            <w:tcW w:type="dxa" w:w="376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Static budget; no session memory; no decay</w:t>
            </w:r>
          </w:p>
        </w:tc>
      </w:tr>
      <w:tr>
        <w:tc>
          <w:tcPr>
            <w:tcW w:type="dxa" w:w="32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3-Agent Council Orchestrator</w:t>
            </w:r>
          </w:p>
        </w:tc>
        <w:tc>
          <w:tcPr>
            <w:tcW w:type="dxa" w:w="2400"/>
            <w:tcBorders>
              <w:top w:val="single" w:color="D0DAE8" w:sz="1"/>
              <w:left w:val="single" w:color="D0DAE8" w:sz="1"/>
              <w:bottom w:val="single" w:color="D0DAE8" w:sz="1"/>
              <w:right w:val="single" w:color="D0DAE8" w:sz="1"/>
            </w:tcBorders>
            <w:shd w:fill="E8F5E9" w:val="clear"/>
            <w:tcMar>
              <w:top w:type="dxa" w:w="80"/>
              <w:left w:type="dxa" w:w="120"/>
              <w:bottom w:type="dxa" w:w="80"/>
              <w:right w:type="dxa" w:w="120"/>
            </w:tcMar>
            <w:vAlign w:val="center"/>
          </w:tcPr>
          <w:p>
            <w:pPr>
              <w:spacing w:after="0" w:before="0"/>
              <w:jc w:val="left"/>
            </w:pPr>
            <w:r>
              <w:rPr>
                <w:rFonts w:ascii="Arial" w:cs="Arial" w:eastAsia="Arial" w:hAnsi="Arial"/>
                <w:b/>
                <w:bCs/>
                <w:color w:val="2E7D32"/>
                <w:sz w:val="20"/>
                <w:szCs w:val="20"/>
              </w:rPr>
              <w:t xml:space="preserve">Implemented</w:t>
            </w:r>
          </w:p>
        </w:tc>
        <w:tc>
          <w:tcPr>
            <w:tcW w:type="dxa" w:w="376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All agents use same OpenAI model; no A2A</w:t>
            </w:r>
          </w:p>
        </w:tc>
      </w:tr>
      <w:tr>
        <w:tc>
          <w:tcPr>
            <w:tcW w:type="dxa" w:w="32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Failure-Biased Trace Sampler</w:t>
            </w:r>
          </w:p>
        </w:tc>
        <w:tc>
          <w:tcPr>
            <w:tcW w:type="dxa" w:w="2400"/>
            <w:tcBorders>
              <w:top w:val="single" w:color="D0DAE8" w:sz="1"/>
              <w:left w:val="single" w:color="D0DAE8" w:sz="1"/>
              <w:bottom w:val="single" w:color="D0DAE8" w:sz="1"/>
              <w:right w:val="single" w:color="D0DAE8" w:sz="1"/>
            </w:tcBorders>
            <w:shd w:fill="E8F5E9" w:val="clear"/>
            <w:tcMar>
              <w:top w:type="dxa" w:w="80"/>
              <w:left w:type="dxa" w:w="120"/>
              <w:bottom w:type="dxa" w:w="80"/>
              <w:right w:type="dxa" w:w="120"/>
            </w:tcMar>
            <w:vAlign w:val="center"/>
          </w:tcPr>
          <w:p>
            <w:pPr>
              <w:spacing w:after="0" w:before="0"/>
              <w:jc w:val="left"/>
            </w:pPr>
            <w:r>
              <w:rPr>
                <w:rFonts w:ascii="Arial" w:cs="Arial" w:eastAsia="Arial" w:hAnsi="Arial"/>
                <w:b/>
                <w:bCs/>
                <w:color w:val="2E7D32"/>
                <w:sz w:val="20"/>
                <w:szCs w:val="20"/>
              </w:rPr>
              <w:t xml:space="preserve">Implemented</w:t>
            </w:r>
          </w:p>
        </w:tc>
        <w:tc>
          <w:tcPr>
            <w:tcW w:type="dxa" w:w="376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No unified observability dashboard shown live</w:t>
            </w:r>
          </w:p>
        </w:tc>
      </w:tr>
      <w:tr>
        <w:tc>
          <w:tcPr>
            <w:tcW w:type="dxa" w:w="32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Evaluation Framework (80 queries, LLM judge)</w:t>
            </w:r>
          </w:p>
        </w:tc>
        <w:tc>
          <w:tcPr>
            <w:tcW w:type="dxa" w:w="2400"/>
            <w:tcBorders>
              <w:top w:val="single" w:color="D0DAE8" w:sz="1"/>
              <w:left w:val="single" w:color="D0DAE8" w:sz="1"/>
              <w:bottom w:val="single" w:color="D0DAE8" w:sz="1"/>
              <w:right w:val="single" w:color="D0DAE8" w:sz="1"/>
            </w:tcBorders>
            <w:shd w:fill="E8F5E9" w:val="clear"/>
            <w:tcMar>
              <w:top w:type="dxa" w:w="80"/>
              <w:left w:type="dxa" w:w="120"/>
              <w:bottom w:type="dxa" w:w="80"/>
              <w:right w:type="dxa" w:w="120"/>
            </w:tcMar>
            <w:vAlign w:val="center"/>
          </w:tcPr>
          <w:p>
            <w:pPr>
              <w:spacing w:after="0" w:before="0"/>
              <w:jc w:val="left"/>
            </w:pPr>
            <w:r>
              <w:rPr>
                <w:rFonts w:ascii="Arial" w:cs="Arial" w:eastAsia="Arial" w:hAnsi="Arial"/>
                <w:b/>
                <w:bCs/>
                <w:color w:val="2E7D32"/>
                <w:sz w:val="20"/>
                <w:szCs w:val="20"/>
              </w:rPr>
              <w:t xml:space="preserve">Implemented</w:t>
            </w:r>
          </w:p>
        </w:tc>
        <w:tc>
          <w:tcPr>
            <w:tcW w:type="dxa" w:w="376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No regression gating on deploy; no gold task library</w:t>
            </w:r>
          </w:p>
        </w:tc>
      </w:tr>
      <w:tr>
        <w:tc>
          <w:tcPr>
            <w:tcW w:type="dxa" w:w="32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Revenue Forecasting (TimeFM)</w:t>
            </w:r>
          </w:p>
        </w:tc>
        <w:tc>
          <w:tcPr>
            <w:tcW w:type="dxa" w:w="2400"/>
            <w:tcBorders>
              <w:top w:val="single" w:color="D0DAE8" w:sz="1"/>
              <w:left w:val="single" w:color="D0DAE8" w:sz="1"/>
              <w:bottom w:val="single" w:color="D0DAE8" w:sz="1"/>
              <w:right w:val="single" w:color="D0DAE8" w:sz="1"/>
            </w:tcBorders>
            <w:shd w:fill="E8F5E9" w:val="clear"/>
            <w:tcMar>
              <w:top w:type="dxa" w:w="80"/>
              <w:left w:type="dxa" w:w="120"/>
              <w:bottom w:type="dxa" w:w="80"/>
              <w:right w:type="dxa" w:w="120"/>
            </w:tcMar>
            <w:vAlign w:val="center"/>
          </w:tcPr>
          <w:p>
            <w:pPr>
              <w:spacing w:after="0" w:before="0"/>
              <w:jc w:val="left"/>
            </w:pPr>
            <w:r>
              <w:rPr>
                <w:rFonts w:ascii="Arial" w:cs="Arial" w:eastAsia="Arial" w:hAnsi="Arial"/>
                <w:b/>
                <w:bCs/>
                <w:color w:val="2E7D32"/>
                <w:sz w:val="20"/>
                <w:szCs w:val="20"/>
              </w:rPr>
              <w:t xml:space="preserve">Implemented</w:t>
            </w:r>
          </w:p>
        </w:tc>
        <w:tc>
          <w:tcPr>
            <w:tcW w:type="dxa" w:w="376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No proactive at-risk client alerting</w:t>
            </w:r>
          </w:p>
        </w:tc>
      </w:tr>
      <w:tr>
        <w:tc>
          <w:tcPr>
            <w:tcW w:type="dxa" w:w="32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Multi-tier Memory / Context Decay</w:t>
            </w:r>
          </w:p>
        </w:tc>
        <w:tc>
          <w:tcPr>
            <w:tcW w:type="dxa" w:w="2400"/>
            <w:tcBorders>
              <w:top w:val="single" w:color="D0DAE8" w:sz="1"/>
              <w:left w:val="single" w:color="D0DAE8" w:sz="1"/>
              <w:bottom w:val="single" w:color="D0DAE8" w:sz="1"/>
              <w:right w:val="single" w:color="D0DAE8" w:sz="1"/>
            </w:tcBorders>
            <w:shd w:fill="FFF8E1" w:val="clear"/>
            <w:tcMar>
              <w:top w:type="dxa" w:w="80"/>
              <w:left w:type="dxa" w:w="120"/>
              <w:bottom w:type="dxa" w:w="80"/>
              <w:right w:type="dxa" w:w="120"/>
            </w:tcMar>
            <w:vAlign w:val="center"/>
          </w:tcPr>
          <w:p>
            <w:pPr>
              <w:spacing w:after="0" w:before="0"/>
              <w:jc w:val="left"/>
            </w:pPr>
            <w:r>
              <w:rPr>
                <w:rFonts w:ascii="Arial" w:cs="Arial" w:eastAsia="Arial" w:hAnsi="Arial"/>
                <w:b/>
                <w:bCs/>
                <w:color w:val="C47A00"/>
                <w:sz w:val="20"/>
                <w:szCs w:val="20"/>
              </w:rPr>
              <w:t xml:space="preserve">Not Yet Built</w:t>
            </w:r>
          </w:p>
        </w:tc>
        <w:tc>
          <w:tcPr>
            <w:tcW w:type="dxa" w:w="376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Planned — episodic/semantic/working memory layers</w:t>
            </w:r>
          </w:p>
        </w:tc>
      </w:tr>
      <w:tr>
        <w:tc>
          <w:tcPr>
            <w:tcW w:type="dxa" w:w="32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Semantic Injection Detection (ML-based)</w:t>
            </w:r>
          </w:p>
        </w:tc>
        <w:tc>
          <w:tcPr>
            <w:tcW w:type="dxa" w:w="2400"/>
            <w:tcBorders>
              <w:top w:val="single" w:color="D0DAE8" w:sz="1"/>
              <w:left w:val="single" w:color="D0DAE8" w:sz="1"/>
              <w:bottom w:val="single" w:color="D0DAE8" w:sz="1"/>
              <w:right w:val="single" w:color="D0DAE8" w:sz="1"/>
            </w:tcBorders>
            <w:shd w:fill="FFF8E1" w:val="clear"/>
            <w:tcMar>
              <w:top w:type="dxa" w:w="80"/>
              <w:left w:type="dxa" w:w="120"/>
              <w:bottom w:type="dxa" w:w="80"/>
              <w:right w:type="dxa" w:w="120"/>
            </w:tcMar>
            <w:vAlign w:val="center"/>
          </w:tcPr>
          <w:p>
            <w:pPr>
              <w:spacing w:after="0" w:before="0"/>
              <w:jc w:val="left"/>
            </w:pPr>
            <w:r>
              <w:rPr>
                <w:rFonts w:ascii="Arial" w:cs="Arial" w:eastAsia="Arial" w:hAnsi="Arial"/>
                <w:b/>
                <w:bCs/>
                <w:color w:val="C47A00"/>
                <w:sz w:val="20"/>
                <w:szCs w:val="20"/>
              </w:rPr>
              <w:t xml:space="preserve">Not Yet Built</w:t>
            </w:r>
          </w:p>
        </w:tc>
        <w:tc>
          <w:tcPr>
            <w:tcW w:type="dxa" w:w="376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Currently regex-only; adversarial evasion possible</w:t>
            </w:r>
          </w:p>
        </w:tc>
      </w:tr>
      <w:tr>
        <w:tc>
          <w:tcPr>
            <w:tcW w:type="dxa" w:w="32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Proactive MSP Intelligence Alerts</w:t>
            </w:r>
          </w:p>
        </w:tc>
        <w:tc>
          <w:tcPr>
            <w:tcW w:type="dxa" w:w="2400"/>
            <w:tcBorders>
              <w:top w:val="single" w:color="D0DAE8" w:sz="1"/>
              <w:left w:val="single" w:color="D0DAE8" w:sz="1"/>
              <w:bottom w:val="single" w:color="D0DAE8" w:sz="1"/>
              <w:right w:val="single" w:color="D0DAE8" w:sz="1"/>
            </w:tcBorders>
            <w:shd w:fill="FFF8E1" w:val="clear"/>
            <w:tcMar>
              <w:top w:type="dxa" w:w="80"/>
              <w:left w:type="dxa" w:w="120"/>
              <w:bottom w:type="dxa" w:w="80"/>
              <w:right w:type="dxa" w:w="120"/>
            </w:tcMar>
            <w:vAlign w:val="center"/>
          </w:tcPr>
          <w:p>
            <w:pPr>
              <w:spacing w:after="0" w:before="0"/>
              <w:jc w:val="left"/>
            </w:pPr>
            <w:r>
              <w:rPr>
                <w:rFonts w:ascii="Arial" w:cs="Arial" w:eastAsia="Arial" w:hAnsi="Arial"/>
                <w:b/>
                <w:bCs/>
                <w:color w:val="C47A00"/>
                <w:sz w:val="20"/>
                <w:szCs w:val="20"/>
              </w:rPr>
              <w:t xml:space="preserve">Not Yet Built</w:t>
            </w:r>
          </w:p>
        </w:tc>
        <w:tc>
          <w:tcPr>
            <w:tcW w:type="dxa" w:w="376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Reactive only; no push-based client risk signals</w:t>
            </w:r>
          </w:p>
        </w:tc>
      </w:tr>
      <w:tr>
        <w:tc>
          <w:tcPr>
            <w:tcW w:type="dxa" w:w="32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Skills Library for Repeatable MSP Workflows</w:t>
            </w:r>
          </w:p>
        </w:tc>
        <w:tc>
          <w:tcPr>
            <w:tcW w:type="dxa" w:w="2400"/>
            <w:tcBorders>
              <w:top w:val="single" w:color="D0DAE8" w:sz="1"/>
              <w:left w:val="single" w:color="D0DAE8" w:sz="1"/>
              <w:bottom w:val="single" w:color="D0DAE8" w:sz="1"/>
              <w:right w:val="single" w:color="D0DAE8" w:sz="1"/>
            </w:tcBorders>
            <w:shd w:fill="FFF8E1" w:val="clear"/>
            <w:tcMar>
              <w:top w:type="dxa" w:w="80"/>
              <w:left w:type="dxa" w:w="120"/>
              <w:bottom w:type="dxa" w:w="80"/>
              <w:right w:type="dxa" w:w="120"/>
            </w:tcMar>
            <w:vAlign w:val="center"/>
          </w:tcPr>
          <w:p>
            <w:pPr>
              <w:spacing w:after="0" w:before="0"/>
              <w:jc w:val="left"/>
            </w:pPr>
            <w:r>
              <w:rPr>
                <w:rFonts w:ascii="Arial" w:cs="Arial" w:eastAsia="Arial" w:hAnsi="Arial"/>
                <w:b/>
                <w:bCs/>
                <w:color w:val="C47A00"/>
                <w:sz w:val="20"/>
                <w:szCs w:val="20"/>
              </w:rPr>
              <w:t xml:space="preserve">Not Yet Built</w:t>
            </w:r>
          </w:p>
        </w:tc>
        <w:tc>
          <w:tcPr>
            <w:tcW w:type="dxa" w:w="376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Conference identified this as a key scaling lever</w:t>
            </w:r>
          </w:p>
        </w:tc>
      </w:tr>
    </w:tbl>
    <w:p>
      <w:r>
        <w:br w:type="page"/>
      </w:r>
    </w:p>
    <w:p>
      <w:pPr>
        <w:pStyle w:val="Heading1"/>
        <w:spacing w:after="120" w:before="320"/>
      </w:pPr>
      <w:r>
        <w:rPr>
          <w:rFonts w:ascii="Arial" w:cs="Arial" w:eastAsia="Arial" w:hAnsi="Arial"/>
          <w:b/>
          <w:bCs/>
          <w:color w:val="1B3A6B"/>
          <w:sz w:val="32"/>
          <w:szCs w:val="32"/>
        </w:rPr>
        <w:t xml:space="preserve">Section 1: Project Architecture Review</w:t>
      </w:r>
    </w:p>
    <w:p>
      <w:pPr>
        <w:pBdr>
          <w:bottom w:val="single" w:color="2E75B6" w:sz="8" w:space="1"/>
        </w:pBdr>
        <w:spacing w:after="120" w:before="0"/>
      </w:pPr>
    </w:p>
    <w:p>
      <w:pPr>
        <w:spacing w:after="120" w:before="40"/>
      </w:pPr>
      <w:r>
        <w:rPr>
          <w:rFonts w:ascii="Arial" w:cs="Arial" w:eastAsia="Arial" w:hAnsi="Arial"/>
          <w:color w:val="1A1A1A"/>
          <w:sz w:val="22"/>
          <w:szCs w:val="22"/>
        </w:rPr>
        <w:t xml:space="preserve">The platform is organized as a six-stage pipeline: Collect → Validate → Chunk → Embed → Index → Serve. What makes this build significant for an MSP audience is that it unifies two fundamentally different knowledge types: AI/ML research literature and live back-office operational data. This dual-domain design directly mirrors how an AI-native MSP would need to operate — drawing on both domain expertise and real-time client context simultaneously.</w:t>
      </w:r>
    </w:p>
    <w:p>
      <w:pPr>
        <w:spacing w:after="80" w:before="40"/>
      </w:pPr>
    </w:p>
    <w:p>
      <w:pPr>
        <w:pStyle w:val="Heading2"/>
        <w:spacing w:after="80" w:before="240"/>
      </w:pPr>
      <w:r>
        <w:rPr>
          <w:rFonts w:ascii="Arial" w:cs="Arial" w:eastAsia="Arial" w:hAnsi="Arial"/>
          <w:b/>
          <w:bCs/>
          <w:color w:val="2E75B6"/>
          <w:sz w:val="26"/>
          <w:szCs w:val="26"/>
        </w:rPr>
        <w:t xml:space="preserve">1.1  Data Sources and Pipeline</w:t>
      </w:r>
    </w:p>
    <w:p>
      <w:pPr>
        <w:spacing w:after="120" w:before="40"/>
      </w:pPr>
      <w:r>
        <w:rPr>
          <w:rFonts w:ascii="Arial" w:cs="Arial" w:eastAsia="Arial" w:hAnsi="Arial"/>
          <w:color w:val="1A1A1A"/>
          <w:sz w:val="22"/>
          <w:szCs w:val="22"/>
        </w:rPr>
        <w:t xml:space="preserve">Eight concurrent collectors ingest approximately 2,100 documents across five operational systems (billing, PSA, CRM, communications, contracts) and three research streams (arXiv, Wikipedia, RSS). The AdaptiveChunker selects strategy per document type: structured short documents are kept whole, CRM records use fixed overlap, and research articles use sentence-window chunking. This is the correct approach — one-size-fits-all chunking is a common mistake that degrades retrieval quality.</w:t>
      </w:r>
    </w:p>
    <w:p>
      <w:pPr>
        <w:spacing w:after="80" w:before="40"/>
      </w:pPr>
    </w:p>
    <w:p>
      <w:pPr>
        <w:pStyle w:val="Heading2"/>
        <w:spacing w:after="80" w:before="240"/>
      </w:pPr>
      <w:r>
        <w:rPr>
          <w:rFonts w:ascii="Arial" w:cs="Arial" w:eastAsia="Arial" w:hAnsi="Arial"/>
          <w:b/>
          <w:bCs/>
          <w:color w:val="2E75B6"/>
          <w:sz w:val="26"/>
          <w:szCs w:val="26"/>
        </w:rPr>
        <w:t xml:space="preserve">1.2  Hybrid Retrieval and Reranking</w:t>
      </w:r>
    </w:p>
    <w:p>
      <w:pPr>
        <w:spacing w:after="120" w:before="40"/>
      </w:pPr>
      <w:r>
        <w:rPr>
          <w:rFonts w:ascii="Arial" w:cs="Arial" w:eastAsia="Arial" w:hAnsi="Arial"/>
          <w:color w:val="1A1A1A"/>
          <w:sz w:val="22"/>
          <w:szCs w:val="22"/>
        </w:rPr>
        <w:t xml:space="preserve">The system uses Reciprocal Rank Fusion (RRF) combining FAISS dense vector search (weight 0.7) and BM25 sparse retrieval (weight 0.3). This design correctly balances semantic similarity with keyword precision. The LLM Reranker then applies a secondary scoring pass using GPT-4o-mini, reducing the top-20 candidates to the final 10 for generation. This two-stage retrieval architecture is best practice and aligns with what leading RAG implementations use in production.</w:t>
      </w:r>
    </w:p>
    <w:p>
      <w:pPr>
        <w:spacing w:after="120" w:before="40"/>
      </w:pPr>
      <w:r>
        <w:rPr>
          <w:rFonts w:ascii="Arial" w:cs="Arial" w:eastAsia="Arial" w:hAnsi="Arial"/>
          <w:color w:val="1A1A1A"/>
          <w:sz w:val="22"/>
          <w:szCs w:val="22"/>
        </w:rPr>
        <w:t xml:space="preserve">One important note: the LLMReranker always uses OpenAI regardless of which generation model the user selects. This is an intentional design decision that keeps reranking quality consistent, but it also means OpenAI is a hard dependency even when using Anthropic models for generation.</w:t>
      </w:r>
    </w:p>
    <w:p>
      <w:pPr>
        <w:spacing w:after="80" w:before="40"/>
      </w:pPr>
    </w:p>
    <w:p>
      <w:pPr>
        <w:pStyle w:val="Heading2"/>
        <w:spacing w:after="80" w:before="240"/>
      </w:pPr>
      <w:r>
        <w:rPr>
          <w:rFonts w:ascii="Arial" w:cs="Arial" w:eastAsia="Arial" w:hAnsi="Arial"/>
          <w:b/>
          <w:bCs/>
          <w:color w:val="2E75B6"/>
          <w:sz w:val="26"/>
          <w:szCs w:val="26"/>
        </w:rPr>
        <w:t xml:space="preserve">1.3  Dual Index Architecture</w:t>
      </w:r>
    </w:p>
    <w:p>
      <w:pPr>
        <w:spacing w:after="120" w:before="40"/>
      </w:pPr>
      <w:r>
        <w:rPr>
          <w:rFonts w:ascii="Arial" w:cs="Arial" w:eastAsia="Arial" w:hAnsi="Arial"/>
          <w:color w:val="1A1A1A"/>
          <w:sz w:val="22"/>
          <w:szCs w:val="22"/>
        </w:rPr>
        <w:t xml:space="preserve">The dual-index design (FAISS for CLI/evaluation, Supabase pgvector for the web server) is architecturally sound: it allows rapid local iteration without cloud dependencies while the production web path uses a scalable, serverless backend. The Vercel deployment path further demonstrates production readiness with a cold start optimized for serverless (no FAISS binary, Supabase-only).</w:t>
      </w:r>
    </w:p>
    <w:p>
      <w:pPr>
        <w:spacing w:after="80" w:before="40"/>
      </w:pPr>
    </w:p>
    <w:p>
      <w:pPr>
        <w:pStyle w:val="Heading2"/>
        <w:spacing w:after="80" w:before="240"/>
      </w:pPr>
      <w:r>
        <w:rPr>
          <w:rFonts w:ascii="Arial" w:cs="Arial" w:eastAsia="Arial" w:hAnsi="Arial"/>
          <w:b/>
          <w:bCs/>
          <w:color w:val="2E75B6"/>
          <w:sz w:val="26"/>
          <w:szCs w:val="26"/>
        </w:rPr>
        <w:t xml:space="preserve">1.4  Query Lifecycle</w:t>
      </w:r>
    </w:p>
    <w:p>
      <w:pPr>
        <w:spacing w:after="120" w:before="40"/>
      </w:pPr>
      <w:r>
        <w:rPr>
          <w:rFonts w:ascii="Arial" w:cs="Arial" w:eastAsia="Arial" w:hAnsi="Arial"/>
          <w:color w:val="1A1A1A"/>
          <w:sz w:val="22"/>
          <w:szCs w:val="22"/>
        </w:rPr>
        <w:t xml:space="preserve">Every query passes through a five-stage lifecycle: PromptGuard → HybridRetriever → LLMReranker → Generator → PIIFilter. This is a well-structured pipeline with clear separation of concerns. The PromptGuard at the front and PIIFilter at the back represent the correct security bookends: block bad inputs before they reach the model, and sanitize sensitive outputs before they reach the user.</w:t>
      </w:r>
    </w:p>
    <w:p>
      <w:pPr>
        <w:spacing w:after="80" w:before="40"/>
      </w:pPr>
    </w:p>
    <w:p>
      <w:pPr>
        <w:pStyle w:val="Heading2"/>
        <w:spacing w:after="80" w:before="240"/>
      </w:pPr>
      <w:r>
        <w:rPr>
          <w:rFonts w:ascii="Arial" w:cs="Arial" w:eastAsia="Arial" w:hAnsi="Arial"/>
          <w:b/>
          <w:bCs/>
          <w:color w:val="2E75B6"/>
          <w:sz w:val="26"/>
          <w:szCs w:val="26"/>
        </w:rPr>
        <w:t xml:space="preserve">1.5  Multi-Agent Council</w:t>
      </w:r>
    </w:p>
    <w:p>
      <w:pPr>
        <w:spacing w:after="120" w:before="40"/>
      </w:pPr>
      <w:r>
        <w:rPr>
          <w:rFonts w:ascii="Arial" w:cs="Arial" w:eastAsia="Arial" w:hAnsi="Arial"/>
          <w:color w:val="1A1A1A"/>
          <w:sz w:val="22"/>
          <w:szCs w:val="22"/>
        </w:rPr>
        <w:t xml:space="preserve">The 3-agent Council Orchestrator is the most architecturally sophisticated component. FastCreativeAgent and ConservativeCheckerAgent run in parallel, sharing a single retrieval + context assembly pass to keep costs down. PolicyVerifierAgent (running on Claude Haiku) then adjudicates. The DeadlockDetector handles the edge case where PolicyVerifier rejects both proposals. The design reflects the conference guidance on multi-agent orchestration patterns: shared context, parallel execution, and structured verdict output are all present.</w:t>
      </w:r>
    </w:p>
    <w:p>
      <w:r>
        <w:br w:type="page"/>
      </w:r>
    </w:p>
    <w:p>
      <w:pPr>
        <w:pStyle w:val="Heading1"/>
        <w:spacing w:after="120" w:before="320"/>
      </w:pPr>
      <w:r>
        <w:rPr>
          <w:rFonts w:ascii="Arial" w:cs="Arial" w:eastAsia="Arial" w:hAnsi="Arial"/>
          <w:b/>
          <w:bCs/>
          <w:color w:val="1B3A6B"/>
          <w:sz w:val="32"/>
          <w:szCs w:val="32"/>
        </w:rPr>
        <w:t xml:space="preserve">Section 2: Security Measures for Agentic Systems</w:t>
      </w:r>
    </w:p>
    <w:p>
      <w:pPr>
        <w:pBdr>
          <w:bottom w:val="single" w:color="2E75B6" w:sz="8"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Pr>
          <w:p/>
        </w:tc>
        <w:tc>
          <w:tcPr>
            <w:tcW w:type="dxa" w:w="9160"/>
            <w:tcBorders>
              <w:top w:val="none" w:color="FFFFFF" w:sz="0"/>
              <w:left w:val="none" w:color="FFFFFF" w:sz="0"/>
              <w:bottom w:val="none" w:color="FFFFFF" w:sz="0"/>
              <w:right w:val="none" w:color="FFFFFF" w:sz="0"/>
            </w:tcBorders>
            <w:shd w:fill="F5F7FA" w:val="clear"/>
            <w:tcMar>
              <w:top w:type="dxa" w:w="120"/>
              <w:left w:type="dxa" w:w="200"/>
              <w:bottom w:type="dxa" w:w="120"/>
              <w:right w:type="dxa" w:w="200"/>
            </w:tcMar>
          </w:tcPr>
          <w:p>
            <w:pPr>
              <w:spacing w:after="40" w:before="0"/>
            </w:pPr>
            <w:r>
              <w:rPr>
                <w:rFonts w:ascii="Arial" w:cs="Arial" w:eastAsia="Arial" w:hAnsi="Arial"/>
                <w:b/>
                <w:bCs/>
                <w:color w:val="1B3A6B"/>
                <w:sz w:val="20"/>
                <w:szCs w:val="20"/>
              </w:rPr>
              <w:t xml:space="preserve">Conference Insight (Talk 3: Securing and Building Agentic Environments)</w:t>
            </w:r>
          </w:p>
          <w:p>
            <w:pPr>
              <w:spacing w:after="0" w:before="0"/>
            </w:pPr>
            <w:r>
              <w:rPr>
                <w:rFonts w:ascii="Arial" w:cs="Arial" w:eastAsia="Arial" w:hAnsi="Arial"/>
                <w:color w:val="1A1A1A"/>
                <w:sz w:val="20"/>
                <w:szCs w:val="20"/>
              </w:rPr>
              <w:t xml:space="preserve">Security for tool-using agents is a distinct discipline. Agentic systems expand the attack surface beyond traditional app security — prompt injection, data exfiltration, and unsafe tool execution require centralized gateway controls, strong ABAC/RBAC, rate limits, tool allowlists, and immutable audit logs aligned to OWASP LLM Top 10 risks.</w:t>
            </w:r>
          </w:p>
        </w:tc>
      </w:tr>
    </w:tbl>
    <w:p>
      <w:pPr>
        <w:spacing w:after="80" w:before="120"/>
      </w:pPr>
    </w:p>
    <w:p>
      <w:pPr>
        <w:pStyle w:val="Heading2"/>
        <w:spacing w:after="80" w:before="240"/>
      </w:pPr>
      <w:r>
        <w:rPr>
          <w:rFonts w:ascii="Arial" w:cs="Arial" w:eastAsia="Arial" w:hAnsi="Arial"/>
          <w:b/>
          <w:bCs/>
          <w:color w:val="2E75B6"/>
          <w:sz w:val="26"/>
          <w:szCs w:val="26"/>
        </w:rPr>
        <w:t xml:space="preserve">2.1  What Is Already Built</w:t>
      </w:r>
    </w:p>
    <w:p>
      <w:pPr>
        <w:spacing w:after="120" w:before="40"/>
      </w:pPr>
      <w:r>
        <w:rPr>
          <w:rFonts w:ascii="Arial" w:cs="Arial" w:eastAsia="Arial" w:hAnsi="Arial"/>
          <w:color w:val="1A1A1A"/>
          <w:sz w:val="22"/>
          <w:szCs w:val="22"/>
        </w:rPr>
        <w:t xml:space="preserve">The Agent Security Gateway (ASG) is a real, production-grade implementation covering four security layers:</w:t>
      </w:r>
    </w:p>
    <w:p>
      <w:pPr>
        <w:pStyle w:val="ListParagraph"/>
        <w:numPr>
          <w:ilvl w:val="0"/>
          <w:numId w:val="2"/>
        </w:numPr>
        <w:spacing w:after="80" w:before="30"/>
      </w:pPr>
      <w:r>
        <w:rPr>
          <w:rFonts w:ascii="Arial" w:cs="Arial" w:eastAsia="Arial" w:hAnsi="Arial"/>
          <w:b w:val="false"/>
          <w:bCs w:val="false"/>
          <w:color w:val="1A1A1A"/>
          <w:sz w:val="22"/>
          <w:szCs w:val="22"/>
        </w:rPr>
        <w:t xml:space="preserve">PromptGuard: 13 hardcoded regex patterns covering jailbreaks, role overrides, and instruction-ignoring attacks, plus YAML-configurable supplemental patterns for extensibility.</w:t>
      </w:r>
    </w:p>
    <w:p>
      <w:pPr>
        <w:pStyle w:val="ListParagraph"/>
        <w:numPr>
          <w:ilvl w:val="0"/>
          <w:numId w:val="2"/>
        </w:numPr>
        <w:spacing w:after="80" w:before="30"/>
      </w:pPr>
      <w:r>
        <w:rPr>
          <w:rFonts w:ascii="Arial" w:cs="Arial" w:eastAsia="Arial" w:hAnsi="Arial"/>
          <w:b w:val="false"/>
          <w:bCs w:val="false"/>
          <w:color w:val="1A1A1A"/>
          <w:sz w:val="22"/>
          <w:szCs w:val="22"/>
        </w:rPr>
        <w:t xml:space="preserve">PolicyEngine: YAML-DSL ABAC with deny-by-default semantics. Policies cover all seven agent actions: rag_query, read_billing, export_billing, read_contracts, export_contracts, read_crm, and read_comms. Rules evaluate user_role, data_classification, and environment attributes.</w:t>
      </w:r>
    </w:p>
    <w:p>
      <w:pPr>
        <w:pStyle w:val="ListParagraph"/>
        <w:numPr>
          <w:ilvl w:val="0"/>
          <w:numId w:val="2"/>
        </w:numPr>
        <w:spacing w:after="80" w:before="30"/>
      </w:pPr>
      <w:r>
        <w:rPr>
          <w:rFonts w:ascii="Arial" w:cs="Arial" w:eastAsia="Arial" w:hAnsi="Arial"/>
          <w:b w:val="false"/>
          <w:bCs w:val="false"/>
          <w:color w:val="1A1A1A"/>
          <w:sz w:val="22"/>
          <w:szCs w:val="22"/>
        </w:rPr>
        <w:t xml:space="preserve">AuditLogger: Append-only JSONL with HMAC-SHA256 chain integrity. Each entry carries a prev_hash for tamper-evidence and an hmac_sig for authenticity verification.</w:t>
      </w:r>
    </w:p>
    <w:p>
      <w:pPr>
        <w:pStyle w:val="ListParagraph"/>
        <w:numPr>
          <w:ilvl w:val="0"/>
          <w:numId w:val="2"/>
        </w:numPr>
        <w:spacing w:after="80" w:before="30"/>
      </w:pPr>
      <w:r>
        <w:rPr>
          <w:rFonts w:ascii="Arial" w:cs="Arial" w:eastAsia="Arial" w:hAnsi="Arial"/>
          <w:b w:val="false"/>
          <w:bCs w:val="false"/>
          <w:color w:val="1A1A1A"/>
          <w:sz w:val="22"/>
          <w:szCs w:val="22"/>
        </w:rPr>
        <w:t xml:space="preserve">PIIFilter: Regex-based output redaction covering email, phone, SSN, credit card, and IP address patterns applied to every generated answer before it reaches the caller.</w:t>
      </w:r>
    </w:p>
    <w:p>
      <w:pPr>
        <w:pStyle w:val="ListParagraph"/>
        <w:numPr>
          <w:ilvl w:val="0"/>
          <w:numId w:val="2"/>
        </w:numPr>
        <w:spacing w:after="80" w:before="30"/>
      </w:pPr>
      <w:r>
        <w:rPr>
          <w:rFonts w:ascii="Arial" w:cs="Arial" w:eastAsia="Arial" w:hAnsi="Arial"/>
          <w:b w:val="false"/>
          <w:bCs w:val="false"/>
          <w:color w:val="1A1A1A"/>
          <w:sz w:val="22"/>
          <w:szCs w:val="22"/>
        </w:rPr>
        <w:t xml:space="preserve">JWT Authentication: Role-based endpoint access (admin, msp, finance, technician, client, engineer) enforced at the FastAPI layer via Bearer tokens.</w:t>
      </w:r>
    </w:p>
    <w:p>
      <w:pPr>
        <w:spacing w:after="80" w:before="60"/>
      </w:pPr>
    </w:p>
    <w:p>
      <w:pPr>
        <w:pStyle w:val="Heading2"/>
        <w:spacing w:after="80" w:before="240"/>
      </w:pPr>
      <w:r>
        <w:rPr>
          <w:rFonts w:ascii="Arial" w:cs="Arial" w:eastAsia="Arial" w:hAnsi="Arial"/>
          <w:b/>
          <w:bCs/>
          <w:color w:val="2E75B6"/>
          <w:sz w:val="26"/>
          <w:szCs w:val="26"/>
        </w:rPr>
        <w:t xml:space="preserve">2.2  Critical Gaps and Recommendations</w:t>
      </w:r>
    </w:p>
    <w:p>
      <w:pPr>
        <w:pStyle w:val="Heading3"/>
        <w:spacing w:after="60" w:before="180"/>
      </w:pPr>
      <w:r>
        <w:rPr>
          <w:rFonts w:ascii="Arial" w:cs="Arial" w:eastAsia="Arial" w:hAnsi="Arial"/>
          <w:b/>
          <w:bCs/>
          <w:color w:val="4A4A4A"/>
          <w:sz w:val="23"/>
          <w:szCs w:val="23"/>
        </w:rPr>
        <w:t xml:space="preserve">Gap 1: API Rate Limiting is Absent</w:t>
      </w:r>
    </w:p>
    <w:p>
      <w:pPr>
        <w:spacing w:after="120" w:before="40"/>
      </w:pPr>
      <w:r>
        <w:rPr>
          <w:rFonts w:ascii="Arial" w:cs="Arial" w:eastAsia="Arial" w:hAnsi="Arial"/>
          <w:color w:val="1A1A1A"/>
          <w:sz w:val="22"/>
          <w:szCs w:val="22"/>
        </w:rPr>
        <w:t xml:space="preserve">The ASG enforces ABAC policies but has no rate limiting on the /api/chat or Council endpoints. A malicious or runaway agent could exhaust OpenAI token budgets or trigger denial-of-service conditions. Conference guidance explicitly called out token budgets and tool-call rate limits as enforceable policies, not best-effort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8FF" w:val="clear"/>
            <w:tcMar>
              <w:top w:type="dxa" w:w="140"/>
              <w:left w:type="dxa" w:w="200"/>
              <w:bottom w:type="dxa" w:w="140"/>
              <w:right w:type="dxa" w:w="200"/>
            </w:tcMar>
          </w:tcPr>
          <w:p>
            <w:pPr>
              <w:spacing w:after="80" w:before="0"/>
            </w:pPr>
            <w:r>
              <w:rPr>
                <w:rFonts w:ascii="Arial" w:cs="Arial" w:eastAsia="Arial" w:hAnsi="Arial"/>
                <w:b/>
                <w:bCs/>
                <w:color w:val="FFFFFF"/>
                <w:sz w:val="22"/>
                <w:szCs w:val="22"/>
              </w:rPr>
              <w:t xml:space="preserve">Recommendation: Add Tiered Rate Limiting</w:t>
            </w:r>
          </w:p>
          <w:p>
            <w:pPr>
              <w:spacing w:after="60" w:before="0"/>
            </w:pPr>
            <w:r>
              <w:rPr>
                <w:rFonts w:ascii="Arial" w:cs="Arial" w:eastAsia="Arial" w:hAnsi="Arial"/>
                <w:color w:val="1A1A1A"/>
                <w:sz w:val="20"/>
                <w:szCs w:val="20"/>
              </w:rPr>
              <w:t xml:space="preserve">Implement per-user and per-role token budget enforcement in the ASG.handle() method. Suggested limits: anonymous → blocked, client → 10 queries/hour, msp → 200 queries/hour, admin → unlimited. Use a sliding-window counter stored in Redis or Supabase. Expose budget utilization in the /api/health endpoint so the monitoring dashboard can surface it.</w:t>
            </w:r>
          </w:p>
          <w:p>
            <w:pPr>
              <w:spacing w:after="60" w:before="0"/>
            </w:pPr>
            <w:r>
              <w:rPr>
                <w:rFonts w:ascii="Arial" w:cs="Arial" w:eastAsia="Arial" w:hAnsi="Arial"/>
                <w:color w:val="1A1A1A"/>
                <w:sz w:val="20"/>
                <w:szCs w:val="20"/>
              </w:rPr>
              <w:t xml:space="preserve">Estimated effort: 1 day. High impact for Thursday demo.</w:t>
            </w:r>
          </w:p>
        </w:tc>
      </w:tr>
    </w:tbl>
    <w:p>
      <w:pPr>
        <w:spacing w:after="60" w:before="80"/>
      </w:pPr>
    </w:p>
    <w:p>
      <w:pPr>
        <w:pStyle w:val="Heading3"/>
        <w:spacing w:after="60" w:before="180"/>
      </w:pPr>
      <w:r>
        <w:rPr>
          <w:rFonts w:ascii="Arial" w:cs="Arial" w:eastAsia="Arial" w:hAnsi="Arial"/>
          <w:b/>
          <w:bCs/>
          <w:color w:val="4A4A4A"/>
          <w:sz w:val="23"/>
          <w:szCs w:val="23"/>
        </w:rPr>
        <w:t xml:space="preserve">Gap 2: Regex-Only Injection Detection</w:t>
      </w:r>
    </w:p>
    <w:p>
      <w:pPr>
        <w:spacing w:after="120" w:before="40"/>
      </w:pPr>
      <w:r>
        <w:rPr>
          <w:rFonts w:ascii="Arial" w:cs="Arial" w:eastAsia="Arial" w:hAnsi="Arial"/>
          <w:color w:val="1A1A1A"/>
          <w:sz w:val="22"/>
          <w:szCs w:val="22"/>
        </w:rPr>
        <w:t xml:space="preserve">The current PromptGuard uses 13 static regex patterns. While these cover known attack signatures, they are brittle against adversarial paraphrasing. An attacker who writes “Please discard all prior guidance” or uses Unicode homoglyphs to evade pattern matching would pass through undetected. OWASP LLM Top 10 lists prompt injection as the highest-priority risk for LLM-powered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8FF" w:val="clear"/>
            <w:tcMar>
              <w:top w:type="dxa" w:w="140"/>
              <w:left w:type="dxa" w:w="200"/>
              <w:bottom w:type="dxa" w:w="140"/>
              <w:right w:type="dxa" w:w="200"/>
            </w:tcMar>
          </w:tcPr>
          <w:p>
            <w:pPr>
              <w:spacing w:after="80" w:before="0"/>
            </w:pPr>
            <w:r>
              <w:rPr>
                <w:rFonts w:ascii="Arial" w:cs="Arial" w:eastAsia="Arial" w:hAnsi="Arial"/>
                <w:b/>
                <w:bCs/>
                <w:color w:val="FFFFFF"/>
                <w:sz w:val="22"/>
                <w:szCs w:val="22"/>
              </w:rPr>
              <w:t xml:space="preserve">Recommendation: Layer Semantic Injection Detection</w:t>
            </w:r>
          </w:p>
          <w:p>
            <w:pPr>
              <w:spacing w:after="60" w:before="0"/>
            </w:pPr>
            <w:r>
              <w:rPr>
                <w:rFonts w:ascii="Arial" w:cs="Arial" w:eastAsia="Arial" w:hAnsi="Arial"/>
                <w:color w:val="1A1A1A"/>
                <w:sz w:val="20"/>
                <w:szCs w:val="20"/>
              </w:rPr>
              <w:t xml:space="preserve">Add a second detection pass using an embedding-based similarity check: compute the cosine similarity of the incoming query against a library of known injection embeddings. Flag queries above a configurable threshold (e.g., 0.82). This is a lightweight addition — the embedding infrastructure is already present in the pipeline. Store injection embeddings in a small numpy array loaded at startup.</w:t>
            </w:r>
          </w:p>
          <w:p>
            <w:pPr>
              <w:spacing w:after="60" w:before="0"/>
            </w:pPr>
            <w:r>
              <w:rPr>
                <w:rFonts w:ascii="Arial" w:cs="Arial" w:eastAsia="Arial" w:hAnsi="Arial"/>
                <w:color w:val="1A1A1A"/>
                <w:sz w:val="20"/>
                <w:szCs w:val="20"/>
              </w:rPr>
              <w:t xml:space="preserve">Additionally, add a character-level filter for Unicode homoglyphs and invisible separators. Estimated effort: 2 days.</w:t>
            </w:r>
          </w:p>
        </w:tc>
      </w:tr>
    </w:tbl>
    <w:p>
      <w:pPr>
        <w:spacing w:after="60" w:before="80"/>
      </w:pPr>
    </w:p>
    <w:p>
      <w:pPr>
        <w:pStyle w:val="Heading3"/>
        <w:spacing w:after="60" w:before="180"/>
      </w:pPr>
      <w:r>
        <w:rPr>
          <w:rFonts w:ascii="Arial" w:cs="Arial" w:eastAsia="Arial" w:hAnsi="Arial"/>
          <w:b/>
          <w:bCs/>
          <w:color w:val="4A4A4A"/>
          <w:sz w:val="23"/>
          <w:szCs w:val="23"/>
        </w:rPr>
        <w:t xml:space="preserve">Gap 3: Production HMAC Key is a Dev Default</w:t>
      </w:r>
    </w:p>
    <w:p>
      <w:pPr>
        <w:spacing w:after="120" w:before="40"/>
      </w:pPr>
      <w:r>
        <w:rPr>
          <w:rFonts w:ascii="Arial" w:cs="Arial" w:eastAsia="Arial" w:hAnsi="Arial"/>
          <w:color w:val="1A1A1A"/>
          <w:sz w:val="22"/>
          <w:szCs w:val="22"/>
        </w:rPr>
        <w:t xml:space="preserve">The AuditLogger currently ships with a hardcoded dev-only fallback key (_DEV_HMAC_KEY = b"dev-only-insecure-key-change-in-prod"). If the AUDIT_HMAC_KEY environment variable is not set in production, all audit log entries are signed with a publicly known key, making the tamper-evidence guarantee worthless.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0" w:val="clear"/>
            <w:tcMar>
              <w:top w:type="dxa" w:w="140"/>
              <w:left w:type="dxa" w:w="200"/>
              <w:bottom w:type="dxa" w:w="140"/>
              <w:right w:type="dxa" w:w="200"/>
            </w:tcMar>
          </w:tcPr>
          <w:p>
            <w:pPr>
              <w:spacing w:after="80" w:before="0"/>
            </w:pPr>
            <w:r>
              <w:rPr>
                <w:rFonts w:ascii="Arial" w:cs="Arial" w:eastAsia="Arial" w:hAnsi="Arial"/>
                <w:b/>
                <w:bCs/>
                <w:color w:val="FFFFFF"/>
                <w:sz w:val="22"/>
                <w:szCs w:val="22"/>
              </w:rPr>
              <w:t xml:space="preserve">Recommendation: Enforce Production Key at Startup</w:t>
            </w:r>
          </w:p>
          <w:p>
            <w:pPr>
              <w:spacing w:after="60" w:before="0"/>
            </w:pPr>
            <w:r>
              <w:rPr>
                <w:rFonts w:ascii="Arial" w:cs="Arial" w:eastAsia="Arial" w:hAnsi="Arial"/>
                <w:color w:val="1A1A1A"/>
                <w:sz w:val="20"/>
                <w:szCs w:val="20"/>
              </w:rPr>
              <w:t xml:space="preserve">Modify AuditLogger.__init__() to raise a RuntimeError if AUDIT_HMAC_KEY is not set and the environment is not ‘dev’. Add a startup check in app/server.py lifespan to validate this. Rotate the HMAC key quarterly and add key rotation tooling that re-signs the audit chain on rotation.</w:t>
            </w:r>
          </w:p>
          <w:p>
            <w:pPr>
              <w:spacing w:after="60" w:before="0"/>
            </w:pPr>
            <w:r>
              <w:rPr>
                <w:rFonts w:ascii="Arial" w:cs="Arial" w:eastAsia="Arial" w:hAnsi="Arial"/>
                <w:color w:val="1A1A1A"/>
                <w:sz w:val="20"/>
                <w:szCs w:val="20"/>
              </w:rPr>
              <w:t xml:space="preserve">Estimated effort: half a day. Critical for any compliance conversation.</w:t>
            </w:r>
          </w:p>
        </w:tc>
      </w:tr>
    </w:tbl>
    <w:p>
      <w:pPr>
        <w:spacing w:after="60" w:before="80"/>
      </w:pPr>
    </w:p>
    <w:p>
      <w:pPr>
        <w:pStyle w:val="Heading3"/>
        <w:spacing w:after="60" w:before="180"/>
      </w:pPr>
      <w:r>
        <w:rPr>
          <w:rFonts w:ascii="Arial" w:cs="Arial" w:eastAsia="Arial" w:hAnsi="Arial"/>
          <w:b/>
          <w:bCs/>
          <w:color w:val="4A4A4A"/>
          <w:sz w:val="23"/>
          <w:szCs w:val="23"/>
        </w:rPr>
        <w:t xml:space="preserve">Gap 4: No Step-Up Authentication for High-Risk Actions</w:t>
      </w:r>
    </w:p>
    <w:p>
      <w:pPr>
        <w:spacing w:after="120" w:before="40"/>
      </w:pPr>
      <w:r>
        <w:rPr>
          <w:rFonts w:ascii="Arial" w:cs="Arial" w:eastAsia="Arial" w:hAnsi="Arial"/>
          <w:color w:val="1A1A1A"/>
          <w:sz w:val="22"/>
          <w:szCs w:val="22"/>
        </w:rPr>
        <w:t xml:space="preserve">The ABAC policies for export_billing and export_contracts require justification_required: true, but the current implementation does not enforce this in the API layer. There is no mechanism for the ASG to pause execution and require a human-in-the-loop approval before executing a bulk export. This is a gap between the policy DSL intent and its runtime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8FF" w:val="clear"/>
            <w:tcMar>
              <w:top w:type="dxa" w:w="140"/>
              <w:left w:type="dxa" w:w="200"/>
              <w:bottom w:type="dxa" w:w="140"/>
              <w:right w:type="dxa" w:w="200"/>
            </w:tcMar>
          </w:tcPr>
          <w:p>
            <w:pPr>
              <w:spacing w:after="80" w:before="0"/>
            </w:pPr>
            <w:r>
              <w:rPr>
                <w:rFonts w:ascii="Arial" w:cs="Arial" w:eastAsia="Arial" w:hAnsi="Arial"/>
                <w:b/>
                <w:bCs/>
                <w:color w:val="FFFFFF"/>
                <w:sz w:val="22"/>
                <w:szCs w:val="22"/>
              </w:rPr>
              <w:t xml:space="preserve">Recommendation: Implement Approval Queue for Sensitive Actions</w:t>
            </w:r>
          </w:p>
          <w:p>
            <w:pPr>
              <w:spacing w:after="60" w:before="0"/>
            </w:pPr>
            <w:r>
              <w:rPr>
                <w:rFonts w:ascii="Arial" w:cs="Arial" w:eastAsia="Arial" w:hAnsi="Arial"/>
                <w:color w:val="1A1A1A"/>
                <w:sz w:val="20"/>
                <w:szCs w:val="20"/>
              </w:rPr>
              <w:t xml:space="preserve">Build a lightweight approval workflow in the ASG: when justification_required is true, the handle() method stores the pending request in a Supabase table and returns a ‘pending_approval’ status instead of executing immediately. The admin portal can then show pending approvals for one-click authorization. This mirrors the conference recommendation for step-up auth for sensitive agent actions.</w:t>
            </w:r>
          </w:p>
          <w:p>
            <w:pPr>
              <w:spacing w:after="60" w:before="0"/>
            </w:pPr>
            <w:r>
              <w:rPr>
                <w:rFonts w:ascii="Arial" w:cs="Arial" w:eastAsia="Arial" w:hAnsi="Arial"/>
                <w:color w:val="1A1A1A"/>
                <w:sz w:val="20"/>
                <w:szCs w:val="20"/>
              </w:rPr>
              <w:t xml:space="preserve">Estimated effort: 2 days.</w:t>
            </w:r>
          </w:p>
        </w:tc>
      </w:tr>
    </w:tbl>
    <w:p>
      <w:pPr>
        <w:spacing w:after="60" w:before="80"/>
      </w:pPr>
    </w:p>
    <w:p>
      <w:pPr>
        <w:pStyle w:val="Heading3"/>
        <w:spacing w:after="60" w:before="180"/>
      </w:pPr>
      <w:r>
        <w:rPr>
          <w:rFonts w:ascii="Arial" w:cs="Arial" w:eastAsia="Arial" w:hAnsi="Arial"/>
          <w:b/>
          <w:bCs/>
          <w:color w:val="4A4A4A"/>
          <w:sz w:val="23"/>
          <w:szCs w:val="23"/>
        </w:rPr>
        <w:t xml:space="preserve">Gap 5: No Tool Allowlist Enforcement at MCP Level</w:t>
      </w:r>
    </w:p>
    <w:p>
      <w:pPr>
        <w:spacing w:after="120" w:before="40"/>
      </w:pPr>
      <w:r>
        <w:rPr>
          <w:rFonts w:ascii="Arial" w:cs="Arial" w:eastAsia="Arial" w:hAnsi="Arial"/>
          <w:color w:val="1A1A1A"/>
          <w:sz w:val="22"/>
          <w:szCs w:val="22"/>
        </w:rPr>
        <w:t xml:space="preserve">The 17-tool MCP server exposes billing, CRM, PSA, contracts, and communications data. The @asg_tool decorator wraps individual tools, but there is no central allowlist that restricts which tools a given agent role may invoke at the MCP server boundary. A misconfigured client could call get_client_360 (which aggregates all data sources) without going through the ASG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8FF" w:val="clear"/>
            <w:tcMar>
              <w:top w:type="dxa" w:w="140"/>
              <w:left w:type="dxa" w:w="200"/>
              <w:bottom w:type="dxa" w:w="140"/>
              <w:right w:type="dxa" w:w="200"/>
            </w:tcMar>
          </w:tcPr>
          <w:p>
            <w:pPr>
              <w:spacing w:after="80" w:before="0"/>
            </w:pPr>
            <w:r>
              <w:rPr>
                <w:rFonts w:ascii="Arial" w:cs="Arial" w:eastAsia="Arial" w:hAnsi="Arial"/>
                <w:b/>
                <w:bCs/>
                <w:color w:val="FFFFFF"/>
                <w:sz w:val="22"/>
                <w:szCs w:val="22"/>
              </w:rPr>
              <w:t xml:space="preserve">Recommendation: Enforce Tool Allowlists at MCP Entry Point</w:t>
            </w:r>
          </w:p>
          <w:p>
            <w:pPr>
              <w:spacing w:after="60" w:before="0"/>
            </w:pPr>
            <w:r>
              <w:rPr>
                <w:rFonts w:ascii="Arial" w:cs="Arial" w:eastAsia="Arial" w:hAnsi="Arial"/>
                <w:color w:val="1A1A1A"/>
                <w:sz w:val="20"/>
                <w:szCs w:val="20"/>
              </w:rPr>
              <w:t xml:space="preserve">Extend the MCP server’s request handler to validate the calling agent’s role against a tool allowlist defined in config/policies.yaml. Add a mcp_tools section to the policy DSL mapping roles to permitted tool names. Log every denied tool call to the audit log.</w:t>
            </w:r>
          </w:p>
          <w:p>
            <w:pPr>
              <w:spacing w:after="60" w:before="0"/>
            </w:pPr>
            <w:r>
              <w:rPr>
                <w:rFonts w:ascii="Arial" w:cs="Arial" w:eastAsia="Arial" w:hAnsi="Arial"/>
                <w:color w:val="1A1A1A"/>
                <w:sz w:val="20"/>
                <w:szCs w:val="20"/>
              </w:rPr>
              <w:t xml:space="preserve">Estimated effort: 1 day.</w:t>
            </w:r>
          </w:p>
        </w:tc>
      </w:tr>
    </w:tbl>
    <w:p>
      <w:pPr>
        <w:spacing w:after="80" w:before="80"/>
      </w:pPr>
    </w:p>
    <w:p>
      <w:pPr>
        <w:pStyle w:val="Heading2"/>
        <w:spacing w:after="80" w:before="240"/>
      </w:pPr>
      <w:r>
        <w:rPr>
          <w:rFonts w:ascii="Arial" w:cs="Arial" w:eastAsia="Arial" w:hAnsi="Arial"/>
          <w:b/>
          <w:bCs/>
          <w:color w:val="2E75B6"/>
          <w:sz w:val="26"/>
          <w:szCs w:val="26"/>
        </w:rPr>
        <w:t xml:space="preserve">2.3  Security Architecture: Target State for Thursday</w:t>
      </w:r>
    </w:p>
    <w:p>
      <w:pPr>
        <w:spacing w:after="120" w:before="40"/>
      </w:pPr>
      <w:r>
        <w:rPr>
          <w:rFonts w:ascii="Arial" w:cs="Arial" w:eastAsia="Arial" w:hAnsi="Arial"/>
          <w:color w:val="1A1A1A"/>
          <w:sz w:val="22"/>
          <w:szCs w:val="22"/>
        </w:rPr>
        <w:t xml:space="preserve">The following diagram summarizes the recommended security enhancement flow. Additions are marked with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AE8" w:sz="1"/>
              <w:left w:val="single" w:color="2E75B6" w:sz="8"/>
              <w:bottom w:val="single" w:color="D0DAE8" w:sz="1"/>
              <w:right w:val="single" w:color="D0DAE8" w:sz="1"/>
            </w:tcBorders>
            <w:shd w:fill="F0F4FF" w:val="clear"/>
            <w:tcMar>
              <w:top w:type="dxa" w:w="160"/>
              <w:left w:type="dxa" w:w="240"/>
              <w:bottom w:type="dxa" w:w="160"/>
              <w:right w:type="dxa" w:w="240"/>
            </w:tcMar>
          </w:tcPr>
          <w:p>
            <w:pPr>
              <w:spacing w:after="60" w:before="0"/>
            </w:pPr>
            <w:r>
              <w:rPr>
                <w:rFonts w:ascii="Courier New" w:cs="Courier New" w:eastAsia="Courier New" w:hAnsi="Courier New"/>
                <w:b/>
                <w:bCs/>
                <w:color w:val="1B3A6B"/>
                <w:sz w:val="20"/>
                <w:szCs w:val="20"/>
              </w:rPr>
              <w:t xml:space="preserve">User Request</w:t>
            </w:r>
          </w:p>
          <w:p>
            <w:pPr>
              <w:spacing w:after="60" w:before="0"/>
            </w:pPr>
            <w:r>
              <w:rPr>
                <w:rFonts w:ascii="Courier New" w:cs="Courier New" w:eastAsia="Courier New" w:hAnsi="Courier New"/>
                <w:color w:val="1A1A1A"/>
                <w:sz w:val="20"/>
                <w:szCs w:val="20"/>
              </w:rPr>
              <w:t xml:space="preserve">    ↓  JWT Auth (existing)</w:t>
            </w:r>
          </w:p>
          <w:p>
            <w:pPr>
              <w:spacing w:after="60" w:before="0"/>
            </w:pPr>
            <w:r>
              <w:rPr>
                <w:rFonts w:ascii="Courier New" w:cs="Courier New" w:eastAsia="Courier New" w:hAnsi="Courier New"/>
                <w:color w:val="2E7D32"/>
                <w:sz w:val="20"/>
                <w:szCs w:val="20"/>
              </w:rPr>
              <w:t xml:space="preserve">    ↓  Rate Limiter [NEW] → budget check, sliding window</w:t>
            </w:r>
          </w:p>
          <w:p>
            <w:pPr>
              <w:spacing w:after="60" w:before="0"/>
            </w:pPr>
            <w:r>
              <w:rPr>
                <w:rFonts w:ascii="Courier New" w:cs="Courier New" w:eastAsia="Courier New" w:hAnsi="Courier New"/>
                <w:color w:val="1A1A1A"/>
                <w:sz w:val="20"/>
                <w:szCs w:val="20"/>
              </w:rPr>
              <w:t xml:space="preserve">    ↓  PromptGuard: Regex (existing) + Embedding Similarity [NEW]</w:t>
            </w:r>
          </w:p>
          <w:p>
            <w:pPr>
              <w:spacing w:after="60" w:before="0"/>
            </w:pPr>
            <w:r>
              <w:rPr>
                <w:rFonts w:ascii="Courier New" w:cs="Courier New" w:eastAsia="Courier New" w:hAnsi="Courier New"/>
                <w:color w:val="1A1A1A"/>
                <w:sz w:val="20"/>
                <w:szCs w:val="20"/>
              </w:rPr>
              <w:t xml:space="preserve">    ↓  ABAC PolicyEngine (existing) + Approval Queue [NEW]</w:t>
            </w:r>
          </w:p>
          <w:p>
            <w:pPr>
              <w:spacing w:after="60" w:before="0"/>
            </w:pPr>
            <w:r>
              <w:rPr>
                <w:rFonts w:ascii="Courier New" w:cs="Courier New" w:eastAsia="Courier New" w:hAnsi="Courier New"/>
                <w:color w:val="1A1A1A"/>
                <w:sz w:val="20"/>
                <w:szCs w:val="20"/>
              </w:rPr>
              <w:t xml:space="preserve">    ↓  RAG / Council execution</w:t>
            </w:r>
          </w:p>
          <w:p>
            <w:pPr>
              <w:spacing w:after="60" w:before="0"/>
            </w:pPr>
            <w:r>
              <w:rPr>
                <w:rFonts w:ascii="Courier New" w:cs="Courier New" w:eastAsia="Courier New" w:hAnsi="Courier New"/>
                <w:color w:val="1A1A1A"/>
                <w:sz w:val="20"/>
                <w:szCs w:val="20"/>
              </w:rPr>
              <w:t xml:space="preserve">    ↓  PIIFilter (existing)</w:t>
            </w:r>
          </w:p>
          <w:p>
            <w:pPr>
              <w:spacing w:after="60" w:before="0"/>
            </w:pPr>
            <w:r>
              <w:rPr>
                <w:rFonts w:ascii="Courier New" w:cs="Courier New" w:eastAsia="Courier New" w:hAnsi="Courier New"/>
                <w:color w:val="1A1A1A"/>
                <w:sz w:val="20"/>
                <w:szCs w:val="20"/>
              </w:rPr>
              <w:t xml:space="preserve">    ↓  HMAC Audit Log (existing, with enforced prod key [NEW])</w:t>
            </w:r>
          </w:p>
          <w:p>
            <w:pPr>
              <w:spacing w:after="0" w:before="0"/>
            </w:pPr>
            <w:r>
              <w:rPr>
                <w:rFonts w:ascii="Courier New" w:cs="Courier New" w:eastAsia="Courier New" w:hAnsi="Courier New"/>
                <w:b/>
                <w:bCs/>
                <w:color w:val="1B3A6B"/>
                <w:sz w:val="20"/>
                <w:szCs w:val="20"/>
              </w:rPr>
              <w:t xml:space="preserve">Response to User</w:t>
            </w:r>
          </w:p>
        </w:tc>
      </w:tr>
    </w:tbl>
    <w:p>
      <w:r>
        <w:br w:type="page"/>
      </w:r>
    </w:p>
    <w:p>
      <w:pPr>
        <w:pStyle w:val="Heading1"/>
        <w:spacing w:after="120" w:before="320"/>
      </w:pPr>
      <w:r>
        <w:rPr>
          <w:rFonts w:ascii="Arial" w:cs="Arial" w:eastAsia="Arial" w:hAnsi="Arial"/>
          <w:b/>
          <w:bCs/>
          <w:color w:val="1B3A6B"/>
          <w:sz w:val="32"/>
          <w:szCs w:val="32"/>
        </w:rPr>
        <w:t xml:space="preserve">Section 3: Context Rot in Agents — What It Is and How to Mitigate It</w:t>
      </w:r>
    </w:p>
    <w:p>
      <w:pPr>
        <w:pBdr>
          <w:bottom w:val="single" w:color="2E75B6" w:sz="8"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Pr>
          <w:p/>
        </w:tc>
        <w:tc>
          <w:tcPr>
            <w:tcW w:type="dxa" w:w="9160"/>
            <w:tcBorders>
              <w:top w:val="none" w:color="FFFFFF" w:sz="0"/>
              <w:left w:val="none" w:color="FFFFFF" w:sz="0"/>
              <w:bottom w:val="none" w:color="FFFFFF" w:sz="0"/>
              <w:right w:val="none" w:color="FFFFFF" w:sz="0"/>
            </w:tcBorders>
            <w:shd w:fill="F5F7FA" w:val="clear"/>
            <w:tcMar>
              <w:top w:type="dxa" w:w="120"/>
              <w:left w:type="dxa" w:w="200"/>
              <w:bottom w:type="dxa" w:w="120"/>
              <w:right w:type="dxa" w:w="200"/>
            </w:tcMar>
          </w:tcPr>
          <w:p>
            <w:pPr>
              <w:spacing w:after="40" w:before="0"/>
            </w:pPr>
            <w:r>
              <w:rPr>
                <w:rFonts w:ascii="Arial" w:cs="Arial" w:eastAsia="Arial" w:hAnsi="Arial"/>
                <w:b/>
                <w:bCs/>
                <w:color w:val="1B3A6B"/>
                <w:sz w:val="20"/>
                <w:szCs w:val="20"/>
              </w:rPr>
              <w:t xml:space="preserve">Conference Insight (Talk 7: Context Engineering for Agents)</w:t>
            </w:r>
          </w:p>
          <w:p>
            <w:pPr>
              <w:spacing w:after="0" w:before="0"/>
            </w:pPr>
            <w:r>
              <w:rPr>
                <w:rFonts w:ascii="Arial" w:cs="Arial" w:eastAsia="Arial" w:hAnsi="Arial"/>
                <w:color w:val="1A1A1A"/>
                <w:sz w:val="20"/>
                <w:szCs w:val="20"/>
              </w:rPr>
              <w:t xml:space="preserve">Context is the new performance bottleneck. Long context degrades accuracy via ‘lost in the middle’ effects. Context rot — where accumulated irrelevant, outdated, or contradictory information accumulates in an agent’s context window — silently degrades output quality and increases token cost. Mitigation requires multi-tier memory, freshness scoring, deliberate curation, and decay policies.</w:t>
            </w:r>
          </w:p>
        </w:tc>
      </w:tr>
    </w:tbl>
    <w:p>
      <w:pPr>
        <w:spacing w:after="80" w:before="120"/>
      </w:pPr>
    </w:p>
    <w:p>
      <w:pPr>
        <w:pStyle w:val="Heading2"/>
        <w:spacing w:after="80" w:before="240"/>
      </w:pPr>
      <w:r>
        <w:rPr>
          <w:rFonts w:ascii="Arial" w:cs="Arial" w:eastAsia="Arial" w:hAnsi="Arial"/>
          <w:b/>
          <w:bCs/>
          <w:color w:val="2E75B6"/>
          <w:sz w:val="26"/>
          <w:szCs w:val="26"/>
        </w:rPr>
        <w:t xml:space="preserve">3.1  Defining Context Rot</w:t>
      </w:r>
    </w:p>
    <w:p>
      <w:pPr>
        <w:spacing w:after="120" w:before="40"/>
      </w:pPr>
      <w:r>
        <w:rPr>
          <w:rFonts w:ascii="Arial" w:cs="Arial" w:eastAsia="Arial" w:hAnsi="Arial"/>
          <w:color w:val="1A1A1A"/>
          <w:sz w:val="22"/>
          <w:szCs w:val="22"/>
        </w:rPr>
        <w:t xml:space="preserve">Context rot refers to the gradual accumulation of low-quality, stale, or irrelevant information in an agent’s working context. It manifests in four ways:</w:t>
      </w:r>
    </w:p>
    <w:p>
      <w:pPr>
        <w:pStyle w:val="ListParagraph"/>
        <w:numPr>
          <w:ilvl w:val="0"/>
          <w:numId w:val="2"/>
        </w:numPr>
        <w:spacing w:after="80" w:before="30"/>
      </w:pPr>
      <w:r>
        <w:rPr>
          <w:rFonts w:ascii="Arial" w:cs="Arial" w:eastAsia="Arial" w:hAnsi="Arial"/>
          <w:b w:val="false"/>
          <w:bCs w:val="false"/>
          <w:color w:val="1A1A1A"/>
          <w:sz w:val="22"/>
          <w:szCs w:val="22"/>
        </w:rPr>
        <w:t xml:space="preserve">Staleness rot: Invoices from 18 months ago appear alongside current data, misleading the agent about a client’s payment status.</w:t>
      </w:r>
    </w:p>
    <w:p>
      <w:pPr>
        <w:pStyle w:val="ListParagraph"/>
        <w:numPr>
          <w:ilvl w:val="0"/>
          <w:numId w:val="2"/>
        </w:numPr>
        <w:spacing w:after="80" w:before="30"/>
      </w:pPr>
      <w:r>
        <w:rPr>
          <w:rFonts w:ascii="Arial" w:cs="Arial" w:eastAsia="Arial" w:hAnsi="Arial"/>
          <w:b w:val="false"/>
          <w:bCs w:val="false"/>
          <w:color w:val="1A1A1A"/>
          <w:sz w:val="22"/>
          <w:szCs w:val="22"/>
        </w:rPr>
        <w:t xml:space="preserve">Relevance drift: Chunks from prior queries linger in session context and contaminate answers to new, unrelated questions.</w:t>
      </w:r>
    </w:p>
    <w:p>
      <w:pPr>
        <w:pStyle w:val="ListParagraph"/>
        <w:numPr>
          <w:ilvl w:val="0"/>
          <w:numId w:val="2"/>
        </w:numPr>
        <w:spacing w:after="80" w:before="30"/>
      </w:pPr>
      <w:r>
        <w:rPr>
          <w:rFonts w:ascii="Arial" w:cs="Arial" w:eastAsia="Arial" w:hAnsi="Arial"/>
          <w:b w:val="false"/>
          <w:bCs w:val="false"/>
          <w:color w:val="1A1A1A"/>
          <w:sz w:val="22"/>
          <w:szCs w:val="22"/>
        </w:rPr>
        <w:t xml:space="preserve">Contradiction accumulation: Newer policies or contract amendments are retrieved alongside superseded versions, creating conflicting signals.</w:t>
      </w:r>
    </w:p>
    <w:p>
      <w:pPr>
        <w:pStyle w:val="ListParagraph"/>
        <w:numPr>
          <w:ilvl w:val="0"/>
          <w:numId w:val="2"/>
        </w:numPr>
        <w:spacing w:after="80" w:before="30"/>
      </w:pPr>
      <w:r>
        <w:rPr>
          <w:rFonts w:ascii="Arial" w:cs="Arial" w:eastAsia="Arial" w:hAnsi="Arial"/>
          <w:b w:val="false"/>
          <w:bCs w:val="false"/>
          <w:color w:val="1A1A1A"/>
          <w:sz w:val="22"/>
          <w:szCs w:val="22"/>
        </w:rPr>
        <w:t xml:space="preserve">Token bloat: As sessions grow, irrelevant context fills the budget, squeezing out the most pertinent chunks.</w:t>
      </w:r>
    </w:p>
    <w:p>
      <w:pPr>
        <w:spacing w:after="80" w:before="60"/>
      </w:pPr>
    </w:p>
    <w:p>
      <w:pPr>
        <w:pStyle w:val="Heading2"/>
        <w:spacing w:after="80" w:before="240"/>
      </w:pPr>
      <w:r>
        <w:rPr>
          <w:rFonts w:ascii="Arial" w:cs="Arial" w:eastAsia="Arial" w:hAnsi="Arial"/>
          <w:b/>
          <w:bCs/>
          <w:color w:val="2E75B6"/>
          <w:sz w:val="26"/>
          <w:szCs w:val="26"/>
        </w:rPr>
        <w:t xml:space="preserve">3.2  What the Current Build Does Well</w:t>
      </w:r>
    </w:p>
    <w:p>
      <w:pPr>
        <w:spacing w:after="120" w:before="40"/>
      </w:pPr>
      <w:r>
        <w:rPr>
          <w:rFonts w:ascii="Arial" w:cs="Arial" w:eastAsia="Arial" w:hAnsi="Arial"/>
          <w:color w:val="1A1A1A"/>
          <w:sz w:val="22"/>
          <w:szCs w:val="22"/>
        </w:rPr>
        <w:t xml:space="preserve">The ContextManager is one of the most thoughtfully designed components in the pipeline. It addresses several forms of context rot directly:</w:t>
      </w:r>
    </w:p>
    <w:p>
      <w:pPr>
        <w:pStyle w:val="ListParagraph"/>
        <w:numPr>
          <w:ilvl w:val="0"/>
          <w:numId w:val="2"/>
        </w:numPr>
        <w:spacing w:after="80" w:before="30"/>
      </w:pPr>
      <w:r>
        <w:rPr>
          <w:rFonts w:ascii="Arial" w:cs="Arial" w:eastAsia="Arial" w:hAnsi="Arial"/>
          <w:b w:val="false"/>
          <w:bCs w:val="false"/>
          <w:color w:val="1A1A1A"/>
          <w:sz w:val="22"/>
          <w:szCs w:val="22"/>
        </w:rPr>
        <w:t xml:space="preserve">3-Tier Classification: Source types are classified as working (billing, PSA, communications), ephemeral (CRM, contracts), or longterm (arXiv, Wikipedia, RSS). Higher-priority tiers are packed first, preventing longterm background noise from displacing operational data.</w:t>
      </w:r>
    </w:p>
    <w:p>
      <w:pPr>
        <w:pStyle w:val="ListParagraph"/>
        <w:numPr>
          <w:ilvl w:val="0"/>
          <w:numId w:val="2"/>
        </w:numPr>
        <w:spacing w:after="80" w:before="30"/>
      </w:pPr>
      <w:r>
        <w:rPr>
          <w:rFonts w:ascii="Arial" w:cs="Arial" w:eastAsia="Arial" w:hAnsi="Arial"/>
          <w:b w:val="false"/>
          <w:bCs w:val="false"/>
          <w:color w:val="1A1A1A"/>
          <w:sz w:val="22"/>
          <w:szCs w:val="22"/>
        </w:rPr>
        <w:t xml:space="preserve">Lost-in-the-Middle Mitigation: Working-tier chunks are placed at the start and end of the context window, not in the middle, exploiting the known pattern that LLMs attend more reliably to information at context boundaries.</w:t>
      </w:r>
    </w:p>
    <w:p>
      <w:pPr>
        <w:pStyle w:val="ListParagraph"/>
        <w:numPr>
          <w:ilvl w:val="0"/>
          <w:numId w:val="2"/>
        </w:numPr>
        <w:spacing w:after="80" w:before="30"/>
      </w:pPr>
      <w:r>
        <w:rPr>
          <w:rFonts w:ascii="Arial" w:cs="Arial" w:eastAsia="Arial" w:hAnsi="Arial"/>
          <w:b w:val="false"/>
          <w:bCs w:val="false"/>
          <w:color w:val="1A1A1A"/>
          <w:sz w:val="22"/>
          <w:szCs w:val="22"/>
        </w:rPr>
        <w:t xml:space="preserve">FreshnessScorer: Each chunk’s metadata date is scored 0–1, contributing 30% weight to the combined relevance score. This directly penalizes stale documents.</w:t>
      </w:r>
    </w:p>
    <w:p>
      <w:pPr>
        <w:pStyle w:val="ListParagraph"/>
        <w:numPr>
          <w:ilvl w:val="0"/>
          <w:numId w:val="2"/>
        </w:numPr>
        <w:spacing w:after="80" w:before="30"/>
      </w:pPr>
      <w:r>
        <w:rPr>
          <w:rFonts w:ascii="Arial" w:cs="Arial" w:eastAsia="Arial" w:hAnsi="Arial"/>
          <w:b w:val="false"/>
          <w:bCs w:val="false"/>
          <w:color w:val="1A1A1A"/>
          <w:sz w:val="22"/>
          <w:szCs w:val="22"/>
        </w:rPr>
        <w:t xml:space="preserve">Token Budget Enforcement: The 3000-token default and 1024-token fast-path budgets prevent unbounded context accumulation within a single query. Greedy packing with the combined score ensures the best chunks win.</w:t>
      </w:r>
    </w:p>
    <w:p>
      <w:pPr>
        <w:spacing w:after="80" w:before="60"/>
      </w:pPr>
    </w:p>
    <w:p>
      <w:pPr>
        <w:pStyle w:val="Heading2"/>
        <w:spacing w:after="80" w:before="240"/>
      </w:pPr>
      <w:r>
        <w:rPr>
          <w:rFonts w:ascii="Arial" w:cs="Arial" w:eastAsia="Arial" w:hAnsi="Arial"/>
          <w:b/>
          <w:bCs/>
          <w:color w:val="2E75B6"/>
          <w:sz w:val="26"/>
          <w:szCs w:val="26"/>
        </w:rPr>
        <w:t xml:space="preserve">3.3  Gaps and Mitigations to Add</w:t>
      </w:r>
    </w:p>
    <w:p>
      <w:pPr>
        <w:pStyle w:val="Heading3"/>
        <w:spacing w:after="60" w:before="180"/>
      </w:pPr>
      <w:r>
        <w:rPr>
          <w:rFonts w:ascii="Arial" w:cs="Arial" w:eastAsia="Arial" w:hAnsi="Arial"/>
          <w:b/>
          <w:bCs/>
          <w:color w:val="4A4A4A"/>
          <w:sz w:val="23"/>
          <w:szCs w:val="23"/>
        </w:rPr>
        <w:t xml:space="preserve">Gap A: No Session-Level Memory or Context Decay</w:t>
      </w:r>
    </w:p>
    <w:p>
      <w:pPr>
        <w:spacing w:after="120" w:before="40"/>
      </w:pPr>
      <w:r>
        <w:rPr>
          <w:rFonts w:ascii="Arial" w:cs="Arial" w:eastAsia="Arial" w:hAnsi="Arial"/>
          <w:color w:val="1A1A1A"/>
          <w:sz w:val="22"/>
          <w:szCs w:val="22"/>
        </w:rPr>
        <w:t xml:space="preserve">Every query is currently stateless. The platform has no concept of a conversation session that could carry forward important context (e.g., “we were just discussing Alpine Financial’s overdue invoices”) or decay it as the session matures. This matters for the Council Orchestrator, which makes high-stakes multi-turn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8FF" w:val="clear"/>
            <w:tcMar>
              <w:top w:type="dxa" w:w="140"/>
              <w:left w:type="dxa" w:w="200"/>
              <w:bottom w:type="dxa" w:w="140"/>
              <w:right w:type="dxa" w:w="200"/>
            </w:tcMar>
          </w:tcPr>
          <w:p>
            <w:pPr>
              <w:spacing w:after="80" w:before="0"/>
            </w:pPr>
            <w:r>
              <w:rPr>
                <w:rFonts w:ascii="Arial" w:cs="Arial" w:eastAsia="Arial" w:hAnsi="Arial"/>
                <w:b/>
                <w:bCs/>
                <w:color w:val="FFFFFF"/>
                <w:sz w:val="22"/>
                <w:szCs w:val="22"/>
              </w:rPr>
              <w:t xml:space="preserve">Recommendation: Implement a 3-Tier Session Memory Architecture</w:t>
            </w:r>
          </w:p>
          <w:p>
            <w:pPr>
              <w:spacing w:after="60" w:before="0"/>
            </w:pPr>
            <w:r>
              <w:rPr>
                <w:rFonts w:ascii="Arial" w:cs="Arial" w:eastAsia="Arial" w:hAnsi="Arial"/>
                <w:color w:val="1A1A1A"/>
                <w:sz w:val="20"/>
                <w:szCs w:val="20"/>
              </w:rPr>
              <w:t xml:space="preserve">Working Memory (in-request, current budget): already implemented via ContextManager.</w:t>
            </w:r>
          </w:p>
          <w:p>
            <w:pPr>
              <w:spacing w:after="60" w:before="0"/>
            </w:pPr>
            <w:r>
              <w:rPr>
                <w:rFonts w:ascii="Arial" w:cs="Arial" w:eastAsia="Arial" w:hAnsi="Arial"/>
                <w:color w:val="1A1A1A"/>
                <w:sz w:val="20"/>
                <w:szCs w:val="20"/>
              </w:rPr>
              <w:t xml:space="preserve">Episodic Memory (session-scoped, up to 10 turns): maintain a rolling buffer of the most recent N query-answer pairs in the session. Score by recency and user engagement (did they follow up on this answer?). Compress older entries using an LLM summarization pass. Store in Supabase chat_logs with a session_id FK.</w:t>
            </w:r>
          </w:p>
          <w:p>
            <w:pPr>
              <w:spacing w:after="60" w:before="0"/>
            </w:pPr>
            <w:r>
              <w:rPr>
                <w:rFonts w:ascii="Arial" w:cs="Arial" w:eastAsia="Arial" w:hAnsi="Arial"/>
                <w:color w:val="1A1A1A"/>
                <w:sz w:val="20"/>
                <w:szCs w:val="20"/>
              </w:rPr>
              <w:t xml:space="preserve">Semantic Memory (persistent, cross-session): extract named entities and key facts from high-quality answers and store them as structured records. These serve as long-horizon client knowledge (e.g., ‘Alpine Financial has had 3 late payments in 6 months’). Refreshed on every successful council verdict.</w:t>
            </w:r>
          </w:p>
          <w:p>
            <w:pPr>
              <w:spacing w:after="60" w:before="0"/>
            </w:pPr>
            <w:r>
              <w:rPr>
                <w:rFonts w:ascii="Arial" w:cs="Arial" w:eastAsia="Arial" w:hAnsi="Arial"/>
                <w:color w:val="1A1A1A"/>
                <w:sz w:val="20"/>
                <w:szCs w:val="20"/>
              </w:rPr>
              <w:t xml:space="preserve">Estimated effort: 3 days for episodic memory, 2 additional days for semantic extraction.</w:t>
            </w:r>
          </w:p>
        </w:tc>
      </w:tr>
    </w:tbl>
    <w:p>
      <w:pPr>
        <w:spacing w:after="60" w:before="80"/>
      </w:pPr>
    </w:p>
    <w:p>
      <w:pPr>
        <w:pStyle w:val="Heading3"/>
        <w:spacing w:after="60" w:before="180"/>
      </w:pPr>
      <w:r>
        <w:rPr>
          <w:rFonts w:ascii="Arial" w:cs="Arial" w:eastAsia="Arial" w:hAnsi="Arial"/>
          <w:b/>
          <w:bCs/>
          <w:color w:val="4A4A4A"/>
          <w:sz w:val="23"/>
          <w:szCs w:val="23"/>
        </w:rPr>
        <w:t xml:space="preserve">Gap B: Static Token Budget</w:t>
      </w:r>
    </w:p>
    <w:p>
      <w:pPr>
        <w:spacing w:after="120" w:before="40"/>
      </w:pPr>
      <w:r>
        <w:rPr>
          <w:rFonts w:ascii="Arial" w:cs="Arial" w:eastAsia="Arial" w:hAnsi="Arial"/>
          <w:color w:val="1A1A1A"/>
          <w:sz w:val="22"/>
          <w:szCs w:val="22"/>
        </w:rPr>
        <w:t xml:space="preserve">The 3000-token default budget is applied uniformly to all query types. A simple billing lookup and a complex multi-hop cross-source query both receive the same budget. This either wastes tokens on simple queries or under-serves complex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8FF" w:val="clear"/>
            <w:tcMar>
              <w:top w:type="dxa" w:w="140"/>
              <w:left w:type="dxa" w:w="200"/>
              <w:bottom w:type="dxa" w:w="140"/>
              <w:right w:type="dxa" w:w="200"/>
            </w:tcMar>
          </w:tcPr>
          <w:p>
            <w:pPr>
              <w:spacing w:after="80" w:before="0"/>
            </w:pPr>
            <w:r>
              <w:rPr>
                <w:rFonts w:ascii="Arial" w:cs="Arial" w:eastAsia="Arial" w:hAnsi="Arial"/>
                <w:b/>
                <w:bCs/>
                <w:color w:val="FFFFFF"/>
                <w:sz w:val="22"/>
                <w:szCs w:val="22"/>
              </w:rPr>
              <w:t xml:space="preserve">Recommendation: Dynamic Budget Allocation</w:t>
            </w:r>
          </w:p>
          <w:p>
            <w:pPr>
              <w:spacing w:after="60" w:before="0"/>
            </w:pPr>
            <w:r>
              <w:rPr>
                <w:rFonts w:ascii="Arial" w:cs="Arial" w:eastAsia="Arial" w:hAnsi="Arial"/>
                <w:color w:val="1A1A1A"/>
                <w:sz w:val="20"/>
                <w:szCs w:val="20"/>
              </w:rPr>
              <w:t xml:space="preserve">Classify incoming queries by complexity before retrieval: single-source (billing lookup) → 1500 tokens, multi-source (CRM + PSA cross-reference) → 3000 tokens, council/strategic (escalation decisions) → 4000 tokens. Use the existing query router in src/agents/router.py as the classification hook.</w:t>
            </w:r>
          </w:p>
          <w:p>
            <w:pPr>
              <w:spacing w:after="60" w:before="0"/>
            </w:pPr>
            <w:r>
              <w:rPr>
                <w:rFonts w:ascii="Arial" w:cs="Arial" w:eastAsia="Arial" w:hAnsi="Arial"/>
                <w:color w:val="1A1A1A"/>
                <w:sz w:val="20"/>
                <w:szCs w:val="20"/>
              </w:rPr>
              <w:t xml:space="preserve">Estimated effort: 1 day.</w:t>
            </w:r>
          </w:p>
        </w:tc>
      </w:tr>
    </w:tbl>
    <w:p>
      <w:pPr>
        <w:spacing w:after="60" w:before="80"/>
      </w:pPr>
    </w:p>
    <w:p>
      <w:pPr>
        <w:pStyle w:val="Heading3"/>
        <w:spacing w:after="60" w:before="180"/>
      </w:pPr>
      <w:r>
        <w:rPr>
          <w:rFonts w:ascii="Arial" w:cs="Arial" w:eastAsia="Arial" w:hAnsi="Arial"/>
          <w:b/>
          <w:bCs/>
          <w:color w:val="4A4A4A"/>
          <w:sz w:val="23"/>
          <w:szCs w:val="23"/>
        </w:rPr>
        <w:t xml:space="preserve">Gap C: No Index Freshness Refresh</w:t>
      </w:r>
    </w:p>
    <w:p>
      <w:pPr>
        <w:spacing w:after="120" w:before="40"/>
      </w:pPr>
      <w:r>
        <w:rPr>
          <w:rFonts w:ascii="Arial" w:cs="Arial" w:eastAsia="Arial" w:hAnsi="Arial"/>
          <w:color w:val="1A1A1A"/>
          <w:sz w:val="22"/>
          <w:szCs w:val="22"/>
        </w:rPr>
        <w:t xml:space="preserve">The FAISS and Supabase indexes are populated during Phase II and then remain static. In a live MSP environment, new invoices, tickets, and communications arrive daily. Stale index data is a systemic source of context rot at the retrieval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8FF" w:val="clear"/>
            <w:tcMar>
              <w:top w:type="dxa" w:w="140"/>
              <w:left w:type="dxa" w:w="200"/>
              <w:bottom w:type="dxa" w:w="140"/>
              <w:right w:type="dxa" w:w="200"/>
            </w:tcMar>
          </w:tcPr>
          <w:p>
            <w:pPr>
              <w:spacing w:after="80" w:before="0"/>
            </w:pPr>
            <w:r>
              <w:rPr>
                <w:rFonts w:ascii="Arial" w:cs="Arial" w:eastAsia="Arial" w:hAnsi="Arial"/>
                <w:b/>
                <w:bCs/>
                <w:color w:val="FFFFFF"/>
                <w:sz w:val="22"/>
                <w:szCs w:val="22"/>
              </w:rPr>
              <w:t xml:space="preserve">Recommendation: Incremental Index Refresh Pipeline</w:t>
            </w:r>
          </w:p>
          <w:p>
            <w:pPr>
              <w:spacing w:after="60" w:before="0"/>
            </w:pPr>
            <w:r>
              <w:rPr>
                <w:rFonts w:ascii="Arial" w:cs="Arial" w:eastAsia="Arial" w:hAnsi="Arial"/>
                <w:color w:val="1A1A1A"/>
                <w:sz w:val="20"/>
                <w:szCs w:val="20"/>
              </w:rPr>
              <w:t xml:space="preserve">Add a delta collector mode to each enterprise collector (billing, PSA, CRM, communications, contracts) that queries only documents modified since the last Phase I checkpoint timestamp. Run this as a nightly job (or on-demand via API). Push new embeddings to Supabase in batches. Track a document_version field to detect and re-embed updated documents. This directly targets staleness rot at the source.</w:t>
            </w:r>
          </w:p>
          <w:p>
            <w:pPr>
              <w:spacing w:after="60" w:before="0"/>
            </w:pPr>
            <w:r>
              <w:rPr>
                <w:rFonts w:ascii="Arial" w:cs="Arial" w:eastAsia="Arial" w:hAnsi="Arial"/>
                <w:color w:val="1A1A1A"/>
                <w:sz w:val="20"/>
                <w:szCs w:val="20"/>
              </w:rPr>
              <w:t xml:space="preserve">Estimated effort: 2–3 days.</w:t>
            </w:r>
          </w:p>
        </w:tc>
      </w:tr>
    </w:tbl>
    <w:p>
      <w:pPr>
        <w:spacing w:after="60" w:before="80"/>
      </w:pPr>
    </w:p>
    <w:p>
      <w:pPr>
        <w:pStyle w:val="Heading3"/>
        <w:spacing w:after="60" w:before="180"/>
      </w:pPr>
      <w:r>
        <w:rPr>
          <w:rFonts w:ascii="Arial" w:cs="Arial" w:eastAsia="Arial" w:hAnsi="Arial"/>
          <w:b/>
          <w:bCs/>
          <w:color w:val="4A4A4A"/>
          <w:sz w:val="23"/>
          <w:szCs w:val="23"/>
        </w:rPr>
        <w:t xml:space="preserve">Gap D: No Context Poisoning Detection</w:t>
      </w:r>
    </w:p>
    <w:p>
      <w:pPr>
        <w:spacing w:after="120" w:before="40"/>
      </w:pPr>
      <w:r>
        <w:rPr>
          <w:rFonts w:ascii="Arial" w:cs="Arial" w:eastAsia="Arial" w:hAnsi="Arial"/>
          <w:color w:val="1A1A1A"/>
          <w:sz w:val="22"/>
          <w:szCs w:val="22"/>
        </w:rPr>
        <w:t xml:space="preserve">The current pipeline trusts retrieved chunks once they pass the LLMReranker. In a scenario where the index has been inadvertently polluted (e.g., a malformed contract document was ingested with incorrect client data), there is no mechanism to flag potentially adversarial or anomalous chunks before they reach the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8FF" w:val="clear"/>
            <w:tcMar>
              <w:top w:type="dxa" w:w="140"/>
              <w:left w:type="dxa" w:w="200"/>
              <w:bottom w:type="dxa" w:w="140"/>
              <w:right w:type="dxa" w:w="200"/>
            </w:tcMar>
          </w:tcPr>
          <w:p>
            <w:pPr>
              <w:spacing w:after="80" w:before="0"/>
            </w:pPr>
            <w:r>
              <w:rPr>
                <w:rFonts w:ascii="Arial" w:cs="Arial" w:eastAsia="Arial" w:hAnsi="Arial"/>
                <w:b/>
                <w:bCs/>
                <w:color w:val="FFFFFF"/>
                <w:sz w:val="22"/>
                <w:szCs w:val="22"/>
              </w:rPr>
              <w:t xml:space="preserve">Recommendation: Anomaly Score for Retrieved Chunks</w:t>
            </w:r>
          </w:p>
          <w:p>
            <w:pPr>
              <w:spacing w:after="60" w:before="0"/>
            </w:pPr>
            <w:r>
              <w:rPr>
                <w:rFonts w:ascii="Arial" w:cs="Arial" w:eastAsia="Arial" w:hAnsi="Arial"/>
                <w:color w:val="1A1A1A"/>
                <w:sz w:val="20"/>
                <w:szCs w:val="20"/>
              </w:rPr>
              <w:t xml:space="preserve">Compute the distribution of retrieval scores for each source_type. Flag chunks whose score is more than 2 standard deviations above the mean for that source type as potentially anomalous. Log these in the trace with a high_score_anomaly flag. The PolicyVerifier agent in the Council can then review these flagged chunks before accepting a verdict.</w:t>
            </w:r>
          </w:p>
          <w:p>
            <w:pPr>
              <w:spacing w:after="60" w:before="0"/>
            </w:pPr>
            <w:r>
              <w:rPr>
                <w:rFonts w:ascii="Arial" w:cs="Arial" w:eastAsia="Arial" w:hAnsi="Arial"/>
                <w:color w:val="1A1A1A"/>
                <w:sz w:val="20"/>
                <w:szCs w:val="20"/>
              </w:rPr>
              <w:t xml:space="preserve">Estimated effort: 1 day.</w:t>
            </w:r>
          </w:p>
        </w:tc>
      </w:tr>
    </w:tbl>
    <w:p>
      <w:pPr>
        <w:spacing w:after="80" w:before="80"/>
      </w:pPr>
    </w:p>
    <w:p>
      <w:pPr>
        <w:pStyle w:val="Heading2"/>
        <w:spacing w:after="80" w:before="240"/>
      </w:pPr>
      <w:r>
        <w:rPr>
          <w:rFonts w:ascii="Arial" w:cs="Arial" w:eastAsia="Arial" w:hAnsi="Arial"/>
          <w:b/>
          <w:bCs/>
          <w:color w:val="2E75B6"/>
          <w:sz w:val="26"/>
          <w:szCs w:val="26"/>
        </w:rPr>
        <w:t xml:space="preserve">3.4  Context Rot Mitigation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Rot Type</w:t>
            </w:r>
          </w:p>
        </w:tc>
        <w:tc>
          <w:tcPr>
            <w:tcW w:type="dxa" w:w="260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Current Defense</w:t>
            </w:r>
          </w:p>
        </w:tc>
        <w:tc>
          <w:tcPr>
            <w:tcW w:type="dxa" w:w="396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Proposed Enhancement</w:t>
            </w:r>
          </w:p>
        </w:tc>
      </w:tr>
      <w:tr>
        <w:tc>
          <w:tcPr>
            <w:tcW w:type="dxa" w:w="28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Staleness</w:t>
            </w:r>
          </w:p>
        </w:tc>
        <w:tc>
          <w:tcPr>
            <w:tcW w:type="dxa" w:w="26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FreshnessScorer (30% weight)</w:t>
            </w:r>
          </w:p>
        </w:tc>
        <w:tc>
          <w:tcPr>
            <w:tcW w:type="dxa" w:w="396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Incremental index refresh + document versioning</w:t>
            </w:r>
          </w:p>
        </w:tc>
      </w:tr>
      <w:tr>
        <w:tc>
          <w:tcPr>
            <w:tcW w:type="dxa" w:w="28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Relevance Drift (session)</w:t>
            </w:r>
          </w:p>
        </w:tc>
        <w:tc>
          <w:tcPr>
            <w:tcW w:type="dxa" w:w="26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Stateless queries only</w:t>
            </w:r>
          </w:p>
        </w:tc>
        <w:tc>
          <w:tcPr>
            <w:tcW w:type="dxa" w:w="396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Episodic + semantic memory with decay</w:t>
            </w:r>
          </w:p>
        </w:tc>
      </w:tr>
      <w:tr>
        <w:tc>
          <w:tcPr>
            <w:tcW w:type="dxa" w:w="28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Lost in the Middle</w:t>
            </w:r>
          </w:p>
        </w:tc>
        <w:tc>
          <w:tcPr>
            <w:tcW w:type="dxa" w:w="26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TierClassifier + LIM reordering</w:t>
            </w:r>
          </w:p>
        </w:tc>
        <w:tc>
          <w:tcPr>
            <w:tcW w:type="dxa" w:w="396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Dynamic budgeting by query complexity</w:t>
            </w:r>
          </w:p>
        </w:tc>
      </w:tr>
      <w:tr>
        <w:tc>
          <w:tcPr>
            <w:tcW w:type="dxa" w:w="28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Contradiction Accumulation</w:t>
            </w:r>
          </w:p>
        </w:tc>
        <w:tc>
          <w:tcPr>
            <w:tcW w:type="dxa" w:w="26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Freshness penalizes old docs</w:t>
            </w:r>
          </w:p>
        </w:tc>
        <w:tc>
          <w:tcPr>
            <w:tcW w:type="dxa" w:w="396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Document versioning + conflict detection in reranker</w:t>
            </w:r>
          </w:p>
        </w:tc>
      </w:tr>
      <w:tr>
        <w:tc>
          <w:tcPr>
            <w:tcW w:type="dxa" w:w="28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Context Poisoning</w:t>
            </w:r>
          </w:p>
        </w:tc>
        <w:tc>
          <w:tcPr>
            <w:tcW w:type="dxa" w:w="2600"/>
            <w:tcBorders>
              <w:top w:val="single" w:color="D0DAE8" w:sz="1"/>
              <w:left w:val="single" w:color="D0DAE8" w:sz="1"/>
              <w:bottom w:val="single" w:color="D0DAE8" w:sz="1"/>
              <w:right w:val="single" w:color="D0DAE8" w:sz="1"/>
            </w:tcBorders>
            <w:shd w:fill="FFF8E1"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C47A00"/>
                <w:sz w:val="20"/>
                <w:szCs w:val="20"/>
              </w:rPr>
              <w:t xml:space="preserve">Not yet addressed</w:t>
            </w:r>
          </w:p>
        </w:tc>
        <w:tc>
          <w:tcPr>
            <w:tcW w:type="dxa" w:w="396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Anomaly score on retrieved chunks</w:t>
            </w:r>
          </w:p>
        </w:tc>
      </w:tr>
    </w:tbl>
    <w:p>
      <w:r>
        <w:br w:type="page"/>
      </w:r>
    </w:p>
    <w:p>
      <w:pPr>
        <w:pStyle w:val="Heading1"/>
        <w:spacing w:after="120" w:before="320"/>
      </w:pPr>
      <w:r>
        <w:rPr>
          <w:rFonts w:ascii="Arial" w:cs="Arial" w:eastAsia="Arial" w:hAnsi="Arial"/>
          <w:b/>
          <w:bCs/>
          <w:color w:val="1B3A6B"/>
          <w:sz w:val="32"/>
          <w:szCs w:val="32"/>
        </w:rPr>
        <w:t xml:space="preserve">Section 4: Strategies to Become an AI-Native MSP</w:t>
      </w:r>
    </w:p>
    <w:p>
      <w:pPr>
        <w:pBdr>
          <w:bottom w:val="single" w:color="2E75B6" w:sz="8"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Pr>
          <w:p/>
        </w:tc>
        <w:tc>
          <w:tcPr>
            <w:tcW w:type="dxa" w:w="9160"/>
            <w:tcBorders>
              <w:top w:val="none" w:color="FFFFFF" w:sz="0"/>
              <w:left w:val="none" w:color="FFFFFF" w:sz="0"/>
              <w:bottom w:val="none" w:color="FFFFFF" w:sz="0"/>
              <w:right w:val="none" w:color="FFFFFF" w:sz="0"/>
            </w:tcBorders>
            <w:shd w:fill="F5F7FA" w:val="clear"/>
            <w:tcMar>
              <w:top w:type="dxa" w:w="120"/>
              <w:left w:type="dxa" w:w="200"/>
              <w:bottom w:type="dxa" w:w="120"/>
              <w:right w:type="dxa" w:w="200"/>
            </w:tcMar>
          </w:tcPr>
          <w:p>
            <w:pPr>
              <w:spacing w:after="40" w:before="0"/>
            </w:pPr>
            <w:r>
              <w:rPr>
                <w:rFonts w:ascii="Arial" w:cs="Arial" w:eastAsia="Arial" w:hAnsi="Arial"/>
                <w:b/>
                <w:bCs/>
                <w:color w:val="1B3A6B"/>
                <w:sz w:val="20"/>
                <w:szCs w:val="20"/>
              </w:rPr>
              <w:t xml:space="preserve">Conference Insight (Talks 2, 4, 8, 10: Standardization, Skills, and the AI-Native Enterprise)</w:t>
            </w:r>
          </w:p>
          <w:p>
            <w:pPr>
              <w:spacing w:after="0" w:before="0"/>
            </w:pPr>
            <w:r>
              <w:rPr>
                <w:rFonts w:ascii="Arial" w:cs="Arial" w:eastAsia="Arial" w:hAnsi="Arial"/>
                <w:color w:val="1A1A1A"/>
                <w:sz w:val="20"/>
                <w:szCs w:val="20"/>
              </w:rPr>
              <w:t xml:space="preserve">Becoming AI-native is not about adopting more AI tools — it is about rebuilding operating workflows around AI capabilities. The key enablers are: a Skills Library for repeatable work, an Agent-Readable Data Layer, standardized orchestration patterns, and a human-AI collaboration model that is explicit about when AI decides and when humans decide.</w:t>
            </w:r>
          </w:p>
        </w:tc>
      </w:tr>
    </w:tbl>
    <w:p>
      <w:pPr>
        <w:spacing w:after="80" w:before="120"/>
      </w:pPr>
    </w:p>
    <w:p>
      <w:pPr>
        <w:pStyle w:val="Heading2"/>
        <w:spacing w:after="80" w:before="240"/>
      </w:pPr>
      <w:r>
        <w:rPr>
          <w:rFonts w:ascii="Arial" w:cs="Arial" w:eastAsia="Arial" w:hAnsi="Arial"/>
          <w:b/>
          <w:bCs/>
          <w:color w:val="2E75B6"/>
          <w:sz w:val="26"/>
          <w:szCs w:val="26"/>
        </w:rPr>
        <w:t xml:space="preserve">4.1  What “AI-Native” Means for an MSP</w:t>
      </w:r>
    </w:p>
    <w:p>
      <w:pPr>
        <w:spacing w:after="120" w:before="40"/>
      </w:pPr>
      <w:r>
        <w:rPr>
          <w:rFonts w:ascii="Arial" w:cs="Arial" w:eastAsia="Arial" w:hAnsi="Arial"/>
          <w:color w:val="1A1A1A"/>
          <w:sz w:val="22"/>
          <w:szCs w:val="22"/>
        </w:rPr>
        <w:t xml:space="preserve">A traditional MSP automates tasks. An AI-native MSP reasons over data, anticipates client needs, and routes work intelligently. The current platform demonstrates the reasoning capability (multi-agent council, cross-source RAG). What is missing are the operational workflows that connect those AI capabilities to day-to-day MSP service delivery.</w:t>
      </w:r>
    </w:p>
    <w:p>
      <w:pPr>
        <w:spacing w:after="120" w:before="40"/>
      </w:pPr>
      <w:r>
        <w:rPr>
          <w:rFonts w:ascii="Arial" w:cs="Arial" w:eastAsia="Arial" w:hAnsi="Arial"/>
          <w:color w:val="1A1A1A"/>
          <w:sz w:val="22"/>
          <w:szCs w:val="22"/>
        </w:rPr>
        <w:t xml:space="preserve">The conference identified five building blocks for an AI-native transition:</w:t>
      </w:r>
    </w:p>
    <w:p>
      <w:pPr>
        <w:pStyle w:val="ListParagraph"/>
        <w:numPr>
          <w:ilvl w:val="0"/>
          <w:numId w:val="2"/>
        </w:numPr>
        <w:spacing w:after="80" w:before="30"/>
      </w:pPr>
      <w:r>
        <w:rPr>
          <w:rFonts w:ascii="Arial" w:cs="Arial" w:eastAsia="Arial" w:hAnsi="Arial"/>
          <w:b w:val="false"/>
          <w:bCs w:val="false"/>
          <w:color w:val="1A1A1A"/>
          <w:sz w:val="22"/>
          <w:szCs w:val="22"/>
        </w:rPr>
        <w:t xml:space="preserve">Evaluation as a first-class product capability (not an afterthought)</w:t>
      </w:r>
    </w:p>
    <w:p>
      <w:pPr>
        <w:pStyle w:val="ListParagraph"/>
        <w:numPr>
          <w:ilvl w:val="0"/>
          <w:numId w:val="2"/>
        </w:numPr>
        <w:spacing w:after="80" w:before="30"/>
      </w:pPr>
      <w:r>
        <w:rPr>
          <w:rFonts w:ascii="Arial" w:cs="Arial" w:eastAsia="Arial" w:hAnsi="Arial"/>
          <w:b w:val="false"/>
          <w:bCs w:val="false"/>
          <w:color w:val="1A1A1A"/>
          <w:sz w:val="22"/>
          <w:szCs w:val="22"/>
        </w:rPr>
        <w:t xml:space="preserve">Standardized agent context and tooling on open protocols (MCP, AGENTS.md, Skills)</w:t>
      </w:r>
    </w:p>
    <w:p>
      <w:pPr>
        <w:pStyle w:val="ListParagraph"/>
        <w:numPr>
          <w:ilvl w:val="0"/>
          <w:numId w:val="2"/>
        </w:numPr>
        <w:spacing w:after="80" w:before="30"/>
      </w:pPr>
      <w:r>
        <w:rPr>
          <w:rFonts w:ascii="Arial" w:cs="Arial" w:eastAsia="Arial" w:hAnsi="Arial"/>
          <w:b w:val="false"/>
          <w:bCs w:val="false"/>
          <w:color w:val="1A1A1A"/>
          <w:sz w:val="22"/>
          <w:szCs w:val="22"/>
        </w:rPr>
        <w:t xml:space="preserve">An Agent Security Gateway as the organizational policy boundary</w:t>
      </w:r>
    </w:p>
    <w:p>
      <w:pPr>
        <w:pStyle w:val="ListParagraph"/>
        <w:numPr>
          <w:ilvl w:val="0"/>
          <w:numId w:val="2"/>
        </w:numPr>
        <w:spacing w:after="80" w:before="30"/>
      </w:pPr>
      <w:r>
        <w:rPr>
          <w:rFonts w:ascii="Arial" w:cs="Arial" w:eastAsia="Arial" w:hAnsi="Arial"/>
          <w:b w:val="false"/>
          <w:bCs w:val="false"/>
          <w:color w:val="1A1A1A"/>
          <w:sz w:val="22"/>
          <w:szCs w:val="22"/>
        </w:rPr>
        <w:t xml:space="preserve">Unified observability and cost governance</w:t>
      </w:r>
    </w:p>
    <w:p>
      <w:pPr>
        <w:pStyle w:val="ListParagraph"/>
        <w:numPr>
          <w:ilvl w:val="0"/>
          <w:numId w:val="2"/>
        </w:numPr>
        <w:spacing w:after="80" w:before="30"/>
      </w:pPr>
      <w:r>
        <w:rPr>
          <w:rFonts w:ascii="Arial" w:cs="Arial" w:eastAsia="Arial" w:hAnsi="Arial"/>
          <w:b w:val="false"/>
          <w:bCs w:val="false"/>
          <w:color w:val="1A1A1A"/>
          <w:sz w:val="22"/>
          <w:szCs w:val="22"/>
        </w:rPr>
        <w:t xml:space="preserve">A Multi-Agent Orchestration Pattern Library</w:t>
      </w:r>
    </w:p>
    <w:p>
      <w:pPr>
        <w:spacing w:after="120" w:before="40"/>
      </w:pPr>
      <w:r>
        <w:rPr>
          <w:rFonts w:ascii="Arial" w:cs="Arial" w:eastAsia="Arial" w:hAnsi="Arial"/>
          <w:color w:val="1A1A1A"/>
          <w:sz w:val="22"/>
          <w:szCs w:val="22"/>
        </w:rPr>
        <w:t xml:space="preserve">TechVault has implemented the core infrastructure for all five. The next step is to operationalize them — to go from “we built a demo” to “we run our MSP this way.”</w:t>
      </w:r>
    </w:p>
    <w:p>
      <w:pPr>
        <w:spacing w:after="80" w:before="60"/>
      </w:pPr>
    </w:p>
    <w:p>
      <w:pPr>
        <w:pStyle w:val="Heading2"/>
        <w:spacing w:after="80" w:before="240"/>
      </w:pPr>
      <w:r>
        <w:rPr>
          <w:rFonts w:ascii="Arial" w:cs="Arial" w:eastAsia="Arial" w:hAnsi="Arial"/>
          <w:b/>
          <w:bCs/>
          <w:color w:val="2E75B6"/>
          <w:sz w:val="26"/>
          <w:szCs w:val="26"/>
        </w:rPr>
        <w:t xml:space="preserve">4.2  Strategy 1: Build a Skills Library for Repeatable MSP Workflows</w:t>
      </w:r>
    </w:p>
    <w:p>
      <w:pPr>
        <w:spacing w:after="120" w:before="40"/>
      </w:pPr>
      <w:r>
        <w:rPr>
          <w:rFonts w:ascii="Arial" w:cs="Arial" w:eastAsia="Arial" w:hAnsi="Arial"/>
          <w:color w:val="1A1A1A"/>
          <w:sz w:val="22"/>
          <w:szCs w:val="22"/>
        </w:rPr>
        <w:t xml:space="preserve">The conference (Talk 2 and Talk 4) identified reusable Skills as the primary scaling lever for AI-native organizations. A Skill is an encapsulated, versioned, tested workflow that turns a repeatable task into a reliable automation asset. Without a Skills Library, each engineer builds bespoke prompts for the same tasks, producing inconsistent outputs and accumulating tribal knowledge debt.</w:t>
      </w:r>
    </w:p>
    <w:p>
      <w:pPr>
        <w:spacing w:after="120" w:before="40"/>
      </w:pPr>
      <w:r>
        <w:rPr>
          <w:rFonts w:ascii="Arial" w:cs="Arial" w:eastAsia="Arial" w:hAnsi="Arial"/>
          <w:color w:val="1A1A1A"/>
          <w:sz w:val="22"/>
          <w:szCs w:val="22"/>
        </w:rPr>
        <w:t xml:space="preserve">For TechVault, the highest-value MSP skills to build first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Skill Name</w:t>
            </w:r>
          </w:p>
        </w:tc>
        <w:tc>
          <w:tcPr>
            <w:tcW w:type="dxa" w:w="336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Trigger / Use Case</w:t>
            </w:r>
          </w:p>
        </w:tc>
        <w:tc>
          <w:tcPr>
            <w:tcW w:type="dxa" w:w="340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Data Sources Used</w:t>
            </w:r>
          </w:p>
        </w:tc>
      </w:tr>
      <w:tr>
        <w:tc>
          <w:tcPr>
            <w:tcW w:type="dxa" w:w="26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Monthly AR Risk Report</w:t>
            </w:r>
          </w:p>
        </w:tc>
        <w:tc>
          <w:tcPr>
            <w:tcW w:type="dxa" w:w="336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Proactively flag clients &gt;30 days overdue</w:t>
            </w:r>
          </w:p>
        </w:tc>
        <w:tc>
          <w:tcPr>
            <w:tcW w:type="dxa" w:w="34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billing, CRM, communications</w:t>
            </w:r>
          </w:p>
        </w:tc>
      </w:tr>
      <w:tr>
        <w:tc>
          <w:tcPr>
            <w:tcW w:type="dxa" w:w="26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Ticket Triage + Route</w:t>
            </w:r>
          </w:p>
        </w:tc>
        <w:tc>
          <w:tcPr>
            <w:tcW w:type="dxa" w:w="336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Classify new PSA tickets by severity, assign technician</w:t>
            </w:r>
          </w:p>
        </w:tc>
        <w:tc>
          <w:tcPr>
            <w:tcW w:type="dxa" w:w="34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psa, crm, contracts (SLA)</w:t>
            </w:r>
          </w:p>
        </w:tc>
      </w:tr>
      <w:tr>
        <w:tc>
          <w:tcPr>
            <w:tcW w:type="dxa" w:w="26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Contract Renewal Alert</w:t>
            </w:r>
          </w:p>
        </w:tc>
        <w:tc>
          <w:tcPr>
            <w:tcW w:type="dxa" w:w="336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Identify contracts expiring in 60/90 days, draft renewal brief</w:t>
            </w:r>
          </w:p>
        </w:tc>
        <w:tc>
          <w:tcPr>
            <w:tcW w:type="dxa" w:w="34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contracts, crm, billing</w:t>
            </w:r>
          </w:p>
        </w:tc>
      </w:tr>
      <w:tr>
        <w:tc>
          <w:tcPr>
            <w:tcW w:type="dxa" w:w="26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Client Health Score</w:t>
            </w:r>
          </w:p>
        </w:tc>
        <w:tc>
          <w:tcPr>
            <w:tcW w:type="dxa" w:w="336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Weekly RED/YELLOW/GREEN report with evidence</w:t>
            </w:r>
          </w:p>
        </w:tc>
        <w:tc>
          <w:tcPr>
            <w:tcW w:type="dxa" w:w="34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crm, psa, billing, communications</w:t>
            </w:r>
          </w:p>
        </w:tc>
      </w:tr>
      <w:tr>
        <w:tc>
          <w:tcPr>
            <w:tcW w:type="dxa" w:w="26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Council Escalation Brief</w:t>
            </w:r>
          </w:p>
        </w:tc>
        <w:tc>
          <w:tcPr>
            <w:tcW w:type="dxa" w:w="336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Structured recommendation when Council escalates</w:t>
            </w:r>
          </w:p>
        </w:tc>
        <w:tc>
          <w:tcPr>
            <w:tcW w:type="dxa" w:w="34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All sources via council orchestrator</w:t>
            </w:r>
          </w:p>
        </w:tc>
      </w:tr>
    </w:tbl>
    <w:p>
      <w:pPr>
        <w:spacing w:after="60" w:before="80"/>
      </w:pPr>
    </w:p>
    <w:p>
      <w:pPr>
        <w:spacing w:after="120" w:before="40"/>
      </w:pPr>
      <w:r>
        <w:rPr>
          <w:rFonts w:ascii="Arial" w:cs="Arial" w:eastAsia="Arial" w:hAnsi="Arial"/>
          <w:color w:val="1A1A1A"/>
          <w:sz w:val="22"/>
          <w:szCs w:val="22"/>
        </w:rPr>
        <w:t xml:space="preserve">Each skill should be implemented as a structured prompt template with typed inputs and outputs, version-controlled in the repo, and covered by at least three eval test cases. The CLAUDE.md already models this discipline for the pipeline; the same pattern applies to skills.</w:t>
      </w:r>
    </w:p>
    <w:p>
      <w:pPr>
        <w:spacing w:after="80" w:before="60"/>
      </w:pPr>
    </w:p>
    <w:p>
      <w:pPr>
        <w:pStyle w:val="Heading2"/>
        <w:spacing w:after="80" w:before="240"/>
      </w:pPr>
      <w:r>
        <w:rPr>
          <w:rFonts w:ascii="Arial" w:cs="Arial" w:eastAsia="Arial" w:hAnsi="Arial"/>
          <w:b/>
          <w:bCs/>
          <w:color w:val="2E75B6"/>
          <w:sz w:val="26"/>
          <w:szCs w:val="26"/>
        </w:rPr>
        <w:t xml:space="preserve">4.3  Strategy 2: Proactive Intelligence (From Reactive to Anticipatory)</w:t>
      </w:r>
    </w:p>
    <w:p>
      <w:pPr>
        <w:spacing w:after="120" w:before="40"/>
      </w:pPr>
      <w:r>
        <w:rPr>
          <w:rFonts w:ascii="Arial" w:cs="Arial" w:eastAsia="Arial" w:hAnsi="Arial"/>
          <w:color w:val="1A1A1A"/>
          <w:sz w:val="22"/>
          <w:szCs w:val="22"/>
        </w:rPr>
        <w:t xml:space="preserve">The current platform is reactive: a user asks a question, the system answers. An AI-native MSP is anticipatory: the system surfaces insights before the human thinks to ask.</w:t>
      </w:r>
    </w:p>
    <w:p>
      <w:pPr>
        <w:spacing w:after="120" w:before="40"/>
      </w:pPr>
      <w:r>
        <w:rPr>
          <w:rFonts w:ascii="Arial" w:cs="Arial" w:eastAsia="Arial" w:hAnsi="Arial"/>
          <w:color w:val="1A1A1A"/>
          <w:sz w:val="22"/>
          <w:szCs w:val="22"/>
        </w:rPr>
        <w:t xml:space="preserve">Three proactive features should be added to the existing architecture:</w:t>
      </w:r>
    </w:p>
    <w:p>
      <w:pPr>
        <w:pStyle w:val="ListParagraph"/>
        <w:numPr>
          <w:ilvl w:val="0"/>
          <w:numId w:val="2"/>
        </w:numPr>
        <w:spacing w:after="80" w:before="30"/>
      </w:pPr>
      <w:r>
        <w:rPr>
          <w:rFonts w:ascii="Arial" w:cs="Arial" w:eastAsia="Arial" w:hAnsi="Arial"/>
          <w:b w:val="false"/>
          <w:bCs w:val="false"/>
          <w:color w:val="1A1A1A"/>
          <w:sz w:val="22"/>
          <w:szCs w:val="22"/>
        </w:rPr>
        <w:t xml:space="preserve">AR Risk Alert: Run the billing collector’s data through a daily scheduled query that flags any client with invoices &gt;30 days overdue or a payment trend decline. Push alerts to the MSP portal dashboard and optionally to a Slack/Teams webhook.</w:t>
      </w:r>
    </w:p>
    <w:p>
      <w:pPr>
        <w:pStyle w:val="ListParagraph"/>
        <w:numPr>
          <w:ilvl w:val="0"/>
          <w:numId w:val="2"/>
        </w:numPr>
        <w:spacing w:after="80" w:before="30"/>
      </w:pPr>
      <w:r>
        <w:rPr>
          <w:rFonts w:ascii="Arial" w:cs="Arial" w:eastAsia="Arial" w:hAnsi="Arial"/>
          <w:b w:val="false"/>
          <w:bCs w:val="false"/>
          <w:color w:val="1A1A1A"/>
          <w:sz w:val="22"/>
          <w:szCs w:val="22"/>
        </w:rPr>
        <w:t xml:space="preserve">SLA Breach Prediction: Use the PSA ticket data to build a simple ML classifier (logistic regression or gradient boosting on ticket age, type, and complexity) that predicts whether an open ticket will breach its SLA response window. Surface high-risk tickets in the engineer portal automatically.</w:t>
      </w:r>
    </w:p>
    <w:p>
      <w:pPr>
        <w:pStyle w:val="ListParagraph"/>
        <w:numPr>
          <w:ilvl w:val="0"/>
          <w:numId w:val="2"/>
        </w:numPr>
        <w:spacing w:after="80" w:before="30"/>
      </w:pPr>
      <w:r>
        <w:rPr>
          <w:rFonts w:ascii="Arial" w:cs="Arial" w:eastAsia="Arial" w:hAnsi="Arial"/>
          <w:b w:val="false"/>
          <w:bCs w:val="false"/>
          <w:color w:val="1A1A1A"/>
          <w:sz w:val="22"/>
          <w:szCs w:val="22"/>
        </w:rPr>
        <w:t xml:space="preserve">Contract Expiry Pipeline: The contracts data contains effective_date and expiry_date. A weekly background job should query contracts expiring within 90 days, assemble a renewal brief using the Council orchestrator, and place it in a “pending actions” queue in the MSP portal.</w:t>
      </w:r>
    </w:p>
    <w:p>
      <w:pPr>
        <w:spacing w:after="80" w:before="60"/>
      </w:pPr>
    </w:p>
    <w:p>
      <w:pPr>
        <w:pStyle w:val="Heading2"/>
        <w:spacing w:after="80" w:before="240"/>
      </w:pPr>
      <w:r>
        <w:rPr>
          <w:rFonts w:ascii="Arial" w:cs="Arial" w:eastAsia="Arial" w:hAnsi="Arial"/>
          <w:b/>
          <w:bCs/>
          <w:color w:val="2E75B6"/>
          <w:sz w:val="26"/>
          <w:szCs w:val="26"/>
        </w:rPr>
        <w:t xml:space="preserve">4.4  Strategy 3: Operationalize the Evaluation Framework</w:t>
      </w:r>
    </w:p>
    <w:p>
      <w:pPr>
        <w:spacing w:after="120" w:before="40"/>
      </w:pPr>
      <w:r>
        <w:rPr>
          <w:rFonts w:ascii="Arial" w:cs="Arial" w:eastAsia="Arial" w:hAnsi="Arial"/>
          <w:color w:val="1A1A1A"/>
          <w:sz w:val="22"/>
          <w:szCs w:val="22"/>
        </w:rPr>
        <w:t xml:space="preserve">The project already contains a rigorous evaluation framework (80 queries, 4 models, LLM judge, 5 production thresholds). This is a significant asset that most MSPs do not have. However, evaluation is currently a development tool rather than an operational gate.</w:t>
      </w:r>
    </w:p>
    <w:p>
      <w:pPr>
        <w:spacing w:after="120" w:before="40"/>
      </w:pPr>
      <w:r>
        <w:rPr>
          <w:rFonts w:ascii="Arial" w:cs="Arial" w:eastAsia="Arial" w:hAnsi="Arial"/>
          <w:color w:val="1A1A1A"/>
          <w:sz w:val="22"/>
          <w:szCs w:val="22"/>
        </w:rPr>
        <w:t xml:space="preserve">To make evaluation part of the AI-native operating model:</w:t>
      </w:r>
    </w:p>
    <w:p>
      <w:pPr>
        <w:pStyle w:val="ListParagraph"/>
        <w:numPr>
          <w:ilvl w:val="0"/>
          <w:numId w:val="2"/>
        </w:numPr>
        <w:spacing w:after="80" w:before="30"/>
      </w:pPr>
      <w:r>
        <w:rPr>
          <w:rFonts w:ascii="Arial" w:cs="Arial" w:eastAsia="Arial" w:hAnsi="Arial"/>
          <w:b w:val="false"/>
          <w:bCs w:val="false"/>
          <w:color w:val="1A1A1A"/>
          <w:sz w:val="22"/>
          <w:szCs w:val="22"/>
        </w:rPr>
        <w:t xml:space="preserve">Add CI/CD regression gating: the eval framework already supports exit codes. Wire python -m eval.run_eval --models gpt-4o-mini as a CI step on every pull request that modifies the retrieval or generation layers. Block merges that drop below the production thresholds.</w:t>
      </w:r>
    </w:p>
    <w:p>
      <w:pPr>
        <w:pStyle w:val="ListParagraph"/>
        <w:numPr>
          <w:ilvl w:val="0"/>
          <w:numId w:val="2"/>
        </w:numPr>
        <w:spacing w:after="80" w:before="30"/>
      </w:pPr>
      <w:r>
        <w:rPr>
          <w:rFonts w:ascii="Arial" w:cs="Arial" w:eastAsia="Arial" w:hAnsi="Arial"/>
          <w:b w:val="false"/>
          <w:bCs w:val="false"/>
          <w:color w:val="1A1A1A"/>
          <w:sz w:val="22"/>
          <w:szCs w:val="22"/>
        </w:rPr>
        <w:t xml:space="preserve">Build an internal Gold Task Library: the eval datasets cover generic query categories. Add 20–30 queries derived from real MSP scenarios (overdue invoice patterns, SLA breach histories, contract renewal decisions) and track those separately as the “MSP domain score.”</w:t>
      </w:r>
    </w:p>
    <w:p>
      <w:pPr>
        <w:pStyle w:val="ListParagraph"/>
        <w:numPr>
          <w:ilvl w:val="0"/>
          <w:numId w:val="2"/>
        </w:numPr>
        <w:spacing w:after="80" w:before="30"/>
      </w:pPr>
      <w:r>
        <w:rPr>
          <w:rFonts w:ascii="Arial" w:cs="Arial" w:eastAsia="Arial" w:hAnsi="Arial"/>
          <w:b w:val="false"/>
          <w:bCs w:val="false"/>
          <w:color w:val="1A1A1A"/>
          <w:sz w:val="22"/>
          <w:szCs w:val="22"/>
        </w:rPr>
        <w:t xml:space="preserve">Route production feedback into the eval loop: log user ratings on answers (thumbs up/down) in the chat_logs table. Quarterly, use low-rated answers to generate new hard eval cases. This creates the feedback flywheel the conference described as a sustainable competitive advantage.</w:t>
      </w:r>
    </w:p>
    <w:p>
      <w:pPr>
        <w:spacing w:after="80" w:before="60"/>
      </w:pPr>
    </w:p>
    <w:p>
      <w:pPr>
        <w:pStyle w:val="Heading2"/>
        <w:spacing w:after="80" w:before="240"/>
      </w:pPr>
      <w:r>
        <w:rPr>
          <w:rFonts w:ascii="Arial" w:cs="Arial" w:eastAsia="Arial" w:hAnsi="Arial"/>
          <w:b/>
          <w:bCs/>
          <w:color w:val="2E75B6"/>
          <w:sz w:val="26"/>
          <w:szCs w:val="26"/>
        </w:rPr>
        <w:t xml:space="preserve">4.5  Strategy 4: Standardize on Open Agent Protocols</w:t>
      </w:r>
    </w:p>
    <w:p>
      <w:pPr>
        <w:spacing w:after="120" w:before="40"/>
      </w:pPr>
      <w:r>
        <w:rPr>
          <w:rFonts w:ascii="Arial" w:cs="Arial" w:eastAsia="Arial" w:hAnsi="Arial"/>
          <w:color w:val="1A1A1A"/>
          <w:sz w:val="22"/>
          <w:szCs w:val="22"/>
        </w:rPr>
        <w:t xml:space="preserve">The conference highlighted three protocols gaining rapid adoption: AGENTS.md (persistent project instruction files), MCP (tool and data integration), and Skills packages. TechVault already has all three in some form: CLAUDE.md serves as the AGENTS.md equivalent, the MCP server exposes 17 tools, and the Council pattern is a prototype of a skills-based orchestration system.</w:t>
      </w:r>
    </w:p>
    <w:p>
      <w:pPr>
        <w:spacing w:after="120" w:before="40"/>
      </w:pPr>
      <w:r>
        <w:rPr>
          <w:rFonts w:ascii="Arial" w:cs="Arial" w:eastAsia="Arial" w:hAnsi="Arial"/>
          <w:color w:val="1A1A1A"/>
          <w:sz w:val="22"/>
          <w:szCs w:val="22"/>
        </w:rPr>
        <w:t xml:space="preserve">The gaps to close are:</w:t>
      </w:r>
    </w:p>
    <w:p>
      <w:pPr>
        <w:pStyle w:val="ListParagraph"/>
        <w:numPr>
          <w:ilvl w:val="0"/>
          <w:numId w:val="2"/>
        </w:numPr>
        <w:spacing w:after="80" w:before="30"/>
      </w:pPr>
      <w:r>
        <w:rPr>
          <w:rFonts w:ascii="Arial" w:cs="Arial" w:eastAsia="Arial" w:hAnsi="Arial"/>
          <w:b w:val="false"/>
          <w:bCs w:val="false"/>
          <w:color w:val="1A1A1A"/>
          <w:sz w:val="22"/>
          <w:szCs w:val="22"/>
        </w:rPr>
        <w:t xml:space="preserve">Formalize CLAUDE.md as a living document: add an on-call rotation section, runbook links for common failure modes, and a quarterly review process. This reduces the onboarding time for new engineers from weeks to days.</w:t>
      </w:r>
    </w:p>
    <w:p>
      <w:pPr>
        <w:pStyle w:val="ListParagraph"/>
        <w:numPr>
          <w:ilvl w:val="0"/>
          <w:numId w:val="2"/>
        </w:numPr>
        <w:spacing w:after="80" w:before="30"/>
      </w:pPr>
      <w:r>
        <w:rPr>
          <w:rFonts w:ascii="Arial" w:cs="Arial" w:eastAsia="Arial" w:hAnsi="Arial"/>
          <w:b w:val="false"/>
          <w:bCs w:val="false"/>
          <w:color w:val="1A1A1A"/>
          <w:sz w:val="22"/>
          <w:szCs w:val="22"/>
        </w:rPr>
        <w:t xml:space="preserve">MCP server hardening: the 17-tool MCP server is currently unsecured for direct access (it relies on the ASG wrapper in production). Add OAuth 2.0 / API key authentication natively to the MCP server so it cannot be called directly without credentials, even in development.</w:t>
      </w:r>
    </w:p>
    <w:p>
      <w:pPr>
        <w:pStyle w:val="ListParagraph"/>
        <w:numPr>
          <w:ilvl w:val="0"/>
          <w:numId w:val="2"/>
        </w:numPr>
        <w:spacing w:after="80" w:before="30"/>
      </w:pPr>
      <w:r>
        <w:rPr>
          <w:rFonts w:ascii="Arial" w:cs="Arial" w:eastAsia="Arial" w:hAnsi="Arial"/>
          <w:b w:val="false"/>
          <w:bCs w:val="false"/>
          <w:color w:val="1A1A1A"/>
          <w:sz w:val="22"/>
          <w:szCs w:val="22"/>
        </w:rPr>
        <w:t xml:space="preserve">Publish a Skills Specification: document the input/output schema for each council agent role so that new agents can be added without modifying core orchestration logic. This is the foundation of an Agent-to-Agent (A2A) protocol for TechVault.</w:t>
      </w:r>
    </w:p>
    <w:p>
      <w:pPr>
        <w:spacing w:after="80" w:before="60"/>
      </w:pPr>
    </w:p>
    <w:p>
      <w:pPr>
        <w:pStyle w:val="Heading2"/>
        <w:spacing w:after="80" w:before="240"/>
      </w:pPr>
      <w:r>
        <w:rPr>
          <w:rFonts w:ascii="Arial" w:cs="Arial" w:eastAsia="Arial" w:hAnsi="Arial"/>
          <w:b/>
          <w:bCs/>
          <w:color w:val="2E75B6"/>
          <w:sz w:val="26"/>
          <w:szCs w:val="26"/>
        </w:rPr>
        <w:t xml:space="preserve">4.6  Strategy 5: Human-AI Collaboration Model</w:t>
      </w:r>
    </w:p>
    <w:p>
      <w:pPr>
        <w:spacing w:after="120" w:before="40"/>
      </w:pPr>
      <w:r>
        <w:rPr>
          <w:rFonts w:ascii="Arial" w:cs="Arial" w:eastAsia="Arial" w:hAnsi="Arial"/>
          <w:color w:val="1A1A1A"/>
          <w:sz w:val="22"/>
          <w:szCs w:val="22"/>
        </w:rPr>
        <w:t xml:space="preserve">The conference consistently emphasized that AI-native does not mean AI-only. The most effective AI-native organizations are explicit about the decision taxonomy: which decisions AI makes autonomously, which it makes with human review, and which humans make with AI support.</w:t>
      </w:r>
    </w:p>
    <w:p>
      <w:pPr>
        <w:spacing w:after="120" w:before="40"/>
      </w:pPr>
      <w:r>
        <w:rPr>
          <w:rFonts w:ascii="Arial" w:cs="Arial" w:eastAsia="Arial" w:hAnsi="Arial"/>
          <w:color w:val="1A1A1A"/>
          <w:sz w:val="22"/>
          <w:szCs w:val="22"/>
        </w:rPr>
        <w:t xml:space="preserve">For TechVault, a proposed decision taxonomy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Decision Type</w:t>
            </w:r>
          </w:p>
        </w:tc>
        <w:tc>
          <w:tcPr>
            <w:tcW w:type="dxa" w:w="320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Examples</w:t>
            </w:r>
          </w:p>
        </w:tc>
        <w:tc>
          <w:tcPr>
            <w:tcW w:type="dxa" w:w="396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Recommended Owner</w:t>
            </w:r>
          </w:p>
        </w:tc>
      </w:tr>
      <w:tr>
        <w:tc>
          <w:tcPr>
            <w:tcW w:type="dxa" w:w="22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Routine lookups</w:t>
            </w:r>
          </w:p>
        </w:tc>
        <w:tc>
          <w:tcPr>
            <w:tcW w:type="dxa" w:w="32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Invoice status, ticket history, contract terms</w:t>
            </w:r>
          </w:p>
        </w:tc>
        <w:tc>
          <w:tcPr>
            <w:tcW w:type="dxa" w:w="3960"/>
            <w:tcBorders>
              <w:top w:val="single" w:color="D0DAE8" w:sz="1"/>
              <w:left w:val="single" w:color="D0DAE8" w:sz="1"/>
              <w:bottom w:val="single" w:color="D0DAE8" w:sz="1"/>
              <w:right w:val="single" w:color="D0DAE8" w:sz="1"/>
            </w:tcBorders>
            <w:shd w:fill="E8F5E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2E7D32"/>
                <w:sz w:val="20"/>
                <w:szCs w:val="20"/>
              </w:rPr>
              <w:t xml:space="preserve">AI autonomous (RAG pipeline)</w:t>
            </w:r>
          </w:p>
        </w:tc>
      </w:tr>
      <w:tr>
        <w:tc>
          <w:tcPr>
            <w:tcW w:type="dxa" w:w="22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Risk classification</w:t>
            </w:r>
          </w:p>
        </w:tc>
        <w:tc>
          <w:tcPr>
            <w:tcW w:type="dxa" w:w="32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Client health score, SLA breach prediction</w:t>
            </w:r>
          </w:p>
        </w:tc>
        <w:tc>
          <w:tcPr>
            <w:tcW w:type="dxa" w:w="3960"/>
            <w:tcBorders>
              <w:top w:val="single" w:color="D0DAE8" w:sz="1"/>
              <w:left w:val="single" w:color="D0DAE8" w:sz="1"/>
              <w:bottom w:val="single" w:color="D0DAE8" w:sz="1"/>
              <w:right w:val="single" w:color="D0DAE8" w:sz="1"/>
            </w:tcBorders>
            <w:shd w:fill="E8F5E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2E7D32"/>
                <w:sz w:val="20"/>
                <w:szCs w:val="20"/>
              </w:rPr>
              <w:t xml:space="preserve">AI proposes, human reviews (Council + dashboard)</w:t>
            </w:r>
          </w:p>
        </w:tc>
      </w:tr>
      <w:tr>
        <w:tc>
          <w:tcPr>
            <w:tcW w:type="dxa" w:w="22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Client communications</w:t>
            </w:r>
          </w:p>
        </w:tc>
        <w:tc>
          <w:tcPr>
            <w:tcW w:type="dxa" w:w="32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Draft renewal email, escalation notice</w:t>
            </w:r>
          </w:p>
        </w:tc>
        <w:tc>
          <w:tcPr>
            <w:tcW w:type="dxa" w:w="3960"/>
            <w:tcBorders>
              <w:top w:val="single" w:color="D0DAE8" w:sz="1"/>
              <w:left w:val="single" w:color="D0DAE8" w:sz="1"/>
              <w:bottom w:val="single" w:color="D0DAE8" w:sz="1"/>
              <w:right w:val="single" w:color="D0DAE8" w:sz="1"/>
            </w:tcBorders>
            <w:shd w:fill="FFF8E1"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C47A00"/>
                <w:sz w:val="20"/>
                <w:szCs w:val="20"/>
              </w:rPr>
              <w:t xml:space="preserve">AI drafts, human approves and sends</w:t>
            </w:r>
          </w:p>
        </w:tc>
      </w:tr>
      <w:tr>
        <w:tc>
          <w:tcPr>
            <w:tcW w:type="dxa" w:w="22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Financial decisions</w:t>
            </w:r>
          </w:p>
        </w:tc>
        <w:tc>
          <w:tcPr>
            <w:tcW w:type="dxa" w:w="32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Credit extension, contract renegotiation</w:t>
            </w:r>
          </w:p>
        </w:tc>
        <w:tc>
          <w:tcPr>
            <w:tcW w:type="dxa" w:w="3960"/>
            <w:tcBorders>
              <w:top w:val="single" w:color="D0DAE8" w:sz="1"/>
              <w:left w:val="single" w:color="D0DAE8" w:sz="1"/>
              <w:bottom w:val="single" w:color="D0DAE8" w:sz="1"/>
              <w:right w:val="single" w:color="D0DAE8" w:sz="1"/>
            </w:tcBorders>
            <w:shd w:fill="FFF8E1"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C47A00"/>
                <w:sz w:val="20"/>
                <w:szCs w:val="20"/>
              </w:rPr>
              <w:t xml:space="preserve">Human decides with AI context brief</w:t>
            </w:r>
          </w:p>
        </w:tc>
      </w:tr>
      <w:tr>
        <w:tc>
          <w:tcPr>
            <w:tcW w:type="dxa" w:w="22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Strategic direction</w:t>
            </w:r>
          </w:p>
        </w:tc>
        <w:tc>
          <w:tcPr>
            <w:tcW w:type="dxa" w:w="32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Pricing strategy, service portfolio changes</w:t>
            </w:r>
          </w:p>
        </w:tc>
        <w:tc>
          <w:tcPr>
            <w:tcW w:type="dxa" w:w="3960"/>
            <w:tcBorders>
              <w:top w:val="single" w:color="D0DAE8" w:sz="1"/>
              <w:left w:val="single" w:color="D0DAE8" w:sz="1"/>
              <w:bottom w:val="single" w:color="D0DAE8" w:sz="1"/>
              <w:right w:val="single" w:color="D0DAE8" w:sz="1"/>
            </w:tcBorders>
            <w:shd w:fill="FEEBE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C62828"/>
                <w:sz w:val="20"/>
                <w:szCs w:val="20"/>
              </w:rPr>
              <w:t xml:space="preserve">Human decides; AI provides scenario analysis</w:t>
            </w:r>
          </w:p>
        </w:tc>
      </w:tr>
    </w:tbl>
    <w:p>
      <w:r>
        <w:br w:type="page"/>
      </w:r>
    </w:p>
    <w:p>
      <w:pPr>
        <w:pStyle w:val="Heading1"/>
        <w:spacing w:after="120" w:before="320"/>
      </w:pPr>
      <w:r>
        <w:rPr>
          <w:rFonts w:ascii="Arial" w:cs="Arial" w:eastAsia="Arial" w:hAnsi="Arial"/>
          <w:b/>
          <w:bCs/>
          <w:color w:val="1B3A6B"/>
          <w:sz w:val="32"/>
          <w:szCs w:val="32"/>
        </w:rPr>
        <w:t xml:space="preserve">Section 5: Thursday Leadership Presentation — What to Show</w:t>
      </w:r>
    </w:p>
    <w:p>
      <w:pPr>
        <w:pBdr>
          <w:bottom w:val="single" w:color="2E75B6" w:sz="8" w:space="1"/>
        </w:pBdr>
        <w:spacing w:after="120" w:before="0"/>
      </w:pPr>
    </w:p>
    <w:p>
      <w:pPr>
        <w:spacing w:after="120" w:before="40"/>
      </w:pPr>
      <w:r>
        <w:rPr>
          <w:rFonts w:ascii="Arial" w:cs="Arial" w:eastAsia="Arial" w:hAnsi="Arial"/>
          <w:color w:val="1A1A1A"/>
          <w:sz w:val="22"/>
          <w:szCs w:val="22"/>
        </w:rPr>
        <w:t xml:space="preserve">Given the three strategic themes (security, context rot, AI-native MSP) and two days of preparation time, the following demonstration sequence will be most impactful for a leadership audience. Each demo illustrates a concrete capability, not a slide.</w:t>
      </w:r>
    </w:p>
    <w:p>
      <w:pPr>
        <w:spacing w:after="80" w:before="60"/>
      </w:pPr>
    </w:p>
    <w:p>
      <w:pPr>
        <w:pStyle w:val="Heading2"/>
        <w:spacing w:after="80" w:before="240"/>
      </w:pPr>
      <w:r>
        <w:rPr>
          <w:rFonts w:ascii="Arial" w:cs="Arial" w:eastAsia="Arial" w:hAnsi="Arial"/>
          <w:b/>
          <w:bCs/>
          <w:color w:val="2E75B6"/>
          <w:sz w:val="26"/>
          <w:szCs w:val="26"/>
        </w:rPr>
        <w:t xml:space="preserve">5.1  Recommended Demo Sequence (45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560"/>
        <w:gridCol w:w="2800"/>
      </w:tblGrid>
      <w:tr>
        <w:trPr>
          <w:tblHeader/>
        </w:trPr>
        <w:tc>
          <w:tcPr>
            <w:tcW w:type="dxa" w:w="60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240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Demo</w:t>
            </w:r>
          </w:p>
        </w:tc>
        <w:tc>
          <w:tcPr>
            <w:tcW w:type="dxa" w:w="356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Shows</w:t>
            </w:r>
          </w:p>
        </w:tc>
        <w:tc>
          <w:tcPr>
            <w:tcW w:type="dxa" w:w="280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Time</w:t>
            </w:r>
          </w:p>
        </w:tc>
      </w:tr>
      <w:tr>
        <w:tc>
          <w:tcPr>
            <w:tcW w:type="dxa" w:w="6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center"/>
            </w:pPr>
            <w:r>
              <w:rPr>
                <w:rFonts w:ascii="Arial" w:cs="Arial" w:eastAsia="Arial" w:hAnsi="Arial"/>
                <w:b/>
                <w:bCs/>
                <w:color w:val="1B3A6B"/>
                <w:sz w:val="20"/>
                <w:szCs w:val="20"/>
              </w:rPr>
              <w:t xml:space="preserve">1</w:t>
            </w:r>
          </w:p>
        </w:tc>
        <w:tc>
          <w:tcPr>
            <w:tcW w:type="dxa" w:w="24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Live RAG Query: AR Risk Query</w:t>
            </w:r>
          </w:p>
        </w:tc>
        <w:tc>
          <w:tcPr>
            <w:tcW w:type="dxa" w:w="356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Ask “Which clients have invoices &gt;30 days overdue?”. Show retrieved citations, source types, and PII redaction in action.</w:t>
            </w:r>
          </w:p>
        </w:tc>
        <w:tc>
          <w:tcPr>
            <w:tcW w:type="dxa" w:w="28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8 mins</w:t>
            </w:r>
          </w:p>
        </w:tc>
      </w:tr>
      <w:tr>
        <w:tc>
          <w:tcPr>
            <w:tcW w:type="dxa" w:w="6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1B3A6B"/>
                <w:sz w:val="20"/>
                <w:szCs w:val="20"/>
              </w:rPr>
              <w:t xml:space="preserve">2</w:t>
            </w:r>
          </w:p>
        </w:tc>
        <w:tc>
          <w:tcPr>
            <w:tcW w:type="dxa" w:w="24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Security Gateway: Injection Block</w:t>
            </w:r>
          </w:p>
        </w:tc>
        <w:tc>
          <w:tcPr>
            <w:tcW w:type="dxa" w:w="356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Submit a prompt injection attack. Show PromptGuard blocking it. Open the audit log to show the HMAC-signed entry. Explain the ABAC policy layer.</w:t>
            </w:r>
          </w:p>
        </w:tc>
        <w:tc>
          <w:tcPr>
            <w:tcW w:type="dxa" w:w="28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8 mins</w:t>
            </w:r>
          </w:p>
        </w:tc>
      </w:tr>
      <w:tr>
        <w:tc>
          <w:tcPr>
            <w:tcW w:type="dxa" w:w="6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center"/>
            </w:pPr>
            <w:r>
              <w:rPr>
                <w:rFonts w:ascii="Arial" w:cs="Arial" w:eastAsia="Arial" w:hAnsi="Arial"/>
                <w:b/>
                <w:bCs/>
                <w:color w:val="1B3A6B"/>
                <w:sz w:val="20"/>
                <w:szCs w:val="20"/>
              </w:rPr>
              <w:t xml:space="preserve">3</w:t>
            </w:r>
          </w:p>
        </w:tc>
        <w:tc>
          <w:tcPr>
            <w:tcW w:type="dxa" w:w="24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Council Orchestrator: Escalation Decision</w:t>
            </w:r>
          </w:p>
        </w:tc>
        <w:tc>
          <w:tcPr>
            <w:tcW w:type="dxa" w:w="356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Run council_cli with “Should we escalate Alpine Financial?”. Show the FastCreative vs ConservativeChecker proposals, PolicyVerifier verdict, hallucination flag, and cost breakdown.</w:t>
            </w:r>
          </w:p>
        </w:tc>
        <w:tc>
          <w:tcPr>
            <w:tcW w:type="dxa" w:w="28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10 mins</w:t>
            </w:r>
          </w:p>
        </w:tc>
      </w:tr>
      <w:tr>
        <w:tc>
          <w:tcPr>
            <w:tcW w:type="dxa" w:w="6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1B3A6B"/>
                <w:sz w:val="20"/>
                <w:szCs w:val="20"/>
              </w:rPr>
              <w:t xml:space="preserve">4</w:t>
            </w:r>
          </w:p>
        </w:tc>
        <w:tc>
          <w:tcPr>
            <w:tcW w:type="dxa" w:w="24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Context Manager: Before vs After LIM</w:t>
            </w:r>
          </w:p>
        </w:tc>
        <w:tc>
          <w:tcPr>
            <w:tcW w:type="dxa" w:w="356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Show a complex cross-source query. Explain the tier classification, freshness scoring, and how working-tier chunks are placed at context boundaries to prevent lost-in-the-middle degradation.</w:t>
            </w:r>
          </w:p>
        </w:tc>
        <w:tc>
          <w:tcPr>
            <w:tcW w:type="dxa" w:w="28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8 mins</w:t>
            </w:r>
          </w:p>
        </w:tc>
      </w:tr>
      <w:tr>
        <w:tc>
          <w:tcPr>
            <w:tcW w:type="dxa" w:w="6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center"/>
            </w:pPr>
            <w:r>
              <w:rPr>
                <w:rFonts w:ascii="Arial" w:cs="Arial" w:eastAsia="Arial" w:hAnsi="Arial"/>
                <w:b/>
                <w:bCs/>
                <w:color w:val="1B3A6B"/>
                <w:sz w:val="20"/>
                <w:szCs w:val="20"/>
              </w:rPr>
              <w:t xml:space="preserve">5</w:t>
            </w:r>
          </w:p>
        </w:tc>
        <w:tc>
          <w:tcPr>
            <w:tcW w:type="dxa" w:w="24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Revenue Forecasting Dashboard</w:t>
            </w:r>
          </w:p>
        </w:tc>
        <w:tc>
          <w:tcPr>
            <w:tcW w:type="dxa" w:w="356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Open /forecast. Show TimeFM predictions with confidence bands for 2–3 clients. Connect to the “proactive MSP intelligence” vision by explaining the AR Risk Alert enhancement.</w:t>
            </w:r>
          </w:p>
        </w:tc>
        <w:tc>
          <w:tcPr>
            <w:tcW w:type="dxa" w:w="28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6 mins</w:t>
            </w:r>
          </w:p>
        </w:tc>
      </w:tr>
      <w:tr>
        <w:tc>
          <w:tcPr>
            <w:tcW w:type="dxa" w:w="6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1B3A6B"/>
                <w:sz w:val="20"/>
                <w:szCs w:val="20"/>
              </w:rPr>
              <w:t xml:space="preserve">6</w:t>
            </w:r>
          </w:p>
        </w:tc>
        <w:tc>
          <w:tcPr>
            <w:tcW w:type="dxa" w:w="24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Roadmap Discussion</w:t>
            </w:r>
          </w:p>
        </w:tc>
        <w:tc>
          <w:tcPr>
            <w:tcW w:type="dxa" w:w="356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Present the scorecard and the 6-week roadmap. Frame each enhancement in terms of client value and operational efficiency, not technical detail.</w:t>
            </w:r>
          </w:p>
        </w:tc>
        <w:tc>
          <w:tcPr>
            <w:tcW w:type="dxa" w:w="28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5 mins</w:t>
            </w:r>
          </w:p>
        </w:tc>
      </w:tr>
    </w:tbl>
    <w:p>
      <w:pPr>
        <w:spacing w:after="80" w:before="80"/>
      </w:pPr>
    </w:p>
    <w:p>
      <w:pPr>
        <w:pStyle w:val="Heading2"/>
        <w:spacing w:after="80" w:before="240"/>
      </w:pPr>
      <w:r>
        <w:rPr>
          <w:rFonts w:ascii="Arial" w:cs="Arial" w:eastAsia="Arial" w:hAnsi="Arial"/>
          <w:b/>
          <w:bCs/>
          <w:color w:val="2E75B6"/>
          <w:sz w:val="26"/>
          <w:szCs w:val="26"/>
        </w:rPr>
        <w:t xml:space="preserve">5.2  Key Messages for Leadership</w:t>
      </w:r>
    </w:p>
    <w:p>
      <w:pPr>
        <w:spacing w:after="120" w:before="40"/>
      </w:pPr>
      <w:r>
        <w:rPr>
          <w:rFonts w:ascii="Arial" w:cs="Arial" w:eastAsia="Arial" w:hAnsi="Arial"/>
          <w:color w:val="1A1A1A"/>
          <w:sz w:val="22"/>
          <w:szCs w:val="22"/>
        </w:rPr>
        <w:t xml:space="preserve">Frame the platform around three business outcomes, not technical features:</w:t>
      </w:r>
    </w:p>
    <w:p>
      <w:pPr>
        <w:pStyle w:val="ListParagraph"/>
        <w:numPr>
          <w:ilvl w:val="0"/>
          <w:numId w:val="2"/>
        </w:numPr>
        <w:spacing w:after="80" w:before="30"/>
      </w:pPr>
      <w:r>
        <w:rPr>
          <w:rFonts w:ascii="Arial" w:cs="Arial" w:eastAsia="Arial" w:hAnsi="Arial"/>
          <w:b w:val="false"/>
          <w:bCs w:val="false"/>
          <w:color w:val="1A1A1A"/>
          <w:sz w:val="22"/>
          <w:szCs w:val="22"/>
        </w:rPr>
        <w:t xml:space="preserve">Risk Reduction: The ASG, ABAC policies, and audit log make AI-assisted decisions auditable and controllable. This is the answer to “what happens when AI makes a mistake.”</w:t>
      </w:r>
    </w:p>
    <w:p>
      <w:pPr>
        <w:pStyle w:val="ListParagraph"/>
        <w:numPr>
          <w:ilvl w:val="0"/>
          <w:numId w:val="2"/>
        </w:numPr>
        <w:spacing w:after="80" w:before="30"/>
      </w:pPr>
      <w:r>
        <w:rPr>
          <w:rFonts w:ascii="Arial" w:cs="Arial" w:eastAsia="Arial" w:hAnsi="Arial"/>
          <w:b w:val="false"/>
          <w:bCs w:val="false"/>
          <w:color w:val="1A1A1A"/>
          <w:sz w:val="22"/>
          <w:szCs w:val="22"/>
        </w:rPr>
        <w:t xml:space="preserve">Operational Efficiency: Cross-source RAG means engineers spend less time searching five different systems. The Council orchestrator brings the reasoning power of three specialized agents to high-stakes decisions in seconds.</w:t>
      </w:r>
    </w:p>
    <w:p>
      <w:pPr>
        <w:pStyle w:val="ListParagraph"/>
        <w:numPr>
          <w:ilvl w:val="0"/>
          <w:numId w:val="2"/>
        </w:numPr>
        <w:spacing w:after="80" w:before="30"/>
      </w:pPr>
      <w:r>
        <w:rPr>
          <w:rFonts w:ascii="Arial" w:cs="Arial" w:eastAsia="Arial" w:hAnsi="Arial"/>
          <w:b w:val="false"/>
          <w:bCs w:val="false"/>
          <w:color w:val="1A1A1A"/>
          <w:sz w:val="22"/>
          <w:szCs w:val="22"/>
        </w:rPr>
        <w:t xml:space="preserve">Competitive Differentiation: The Skills Library and proactive intelligence capabilities will be the visible differentiator to clients. An MSP that can predict SLA breaches before they happen and surface contract renewal risks automatically is not competing on price — it is competing on intelligence.</w:t>
      </w:r>
    </w:p>
    <w:p>
      <w:pPr>
        <w:spacing w:after="80" w:before="60"/>
      </w:pPr>
    </w:p>
    <w:p>
      <w:pPr>
        <w:pStyle w:val="Heading2"/>
        <w:spacing w:after="80" w:before="240"/>
      </w:pPr>
      <w:r>
        <w:rPr>
          <w:rFonts w:ascii="Arial" w:cs="Arial" w:eastAsia="Arial" w:hAnsi="Arial"/>
          <w:b/>
          <w:bCs/>
          <w:color w:val="2E75B6"/>
          <w:sz w:val="26"/>
          <w:szCs w:val="26"/>
        </w:rPr>
        <w:t xml:space="preserve">5.3  Anticipated Leadership Questions and Answers</w:t>
      </w:r>
    </w:p>
    <w:p>
      <w:pPr>
        <w:pStyle w:val="Heading3"/>
        <w:spacing w:after="60" w:before="180"/>
      </w:pPr>
      <w:r>
        <w:rPr>
          <w:rFonts w:ascii="Arial" w:cs="Arial" w:eastAsia="Arial" w:hAnsi="Arial"/>
          <w:b/>
          <w:bCs/>
          <w:color w:val="4A4A4A"/>
          <w:sz w:val="23"/>
          <w:szCs w:val="23"/>
        </w:rPr>
        <w:t xml:space="preserve">Q: How do we know the AI is not making things up?</w:t>
      </w:r>
    </w:p>
    <w:p>
      <w:pPr>
        <w:spacing w:after="120" w:before="40"/>
      </w:pPr>
      <w:r>
        <w:rPr>
          <w:rFonts w:ascii="Arial" w:cs="Arial" w:eastAsia="Arial" w:hAnsi="Arial"/>
          <w:color w:val="1A1A1A"/>
          <w:sz w:val="22"/>
          <w:szCs w:val="22"/>
        </w:rPr>
        <w:t xml:space="preserve">The system is grounded-answer only — every claim in an answer is supported by a numbered citation from the retrieved context. The LLM Reranker scores relevance. The PolicyVerifier agent in the Council explicitly checks for hallucination. The audit log captures query hashes for every interaction. Faithfulness threshold in our eval framework is 85%.</w:t>
      </w:r>
    </w:p>
    <w:p>
      <w:pPr>
        <w:pStyle w:val="Heading3"/>
        <w:spacing w:after="60" w:before="180"/>
      </w:pPr>
      <w:r>
        <w:rPr>
          <w:rFonts w:ascii="Arial" w:cs="Arial" w:eastAsia="Arial" w:hAnsi="Arial"/>
          <w:b/>
          <w:bCs/>
          <w:color w:val="4A4A4A"/>
          <w:sz w:val="23"/>
          <w:szCs w:val="23"/>
        </w:rPr>
        <w:t xml:space="preserve">Q: What happens if a client’s sensitive data is exposed?</w:t>
      </w:r>
    </w:p>
    <w:p>
      <w:pPr>
        <w:spacing w:after="120" w:before="40"/>
      </w:pPr>
      <w:r>
        <w:rPr>
          <w:rFonts w:ascii="Arial" w:cs="Arial" w:eastAsia="Arial" w:hAnsi="Arial"/>
          <w:color w:val="1A1A1A"/>
          <w:sz w:val="22"/>
          <w:szCs w:val="22"/>
        </w:rPr>
        <w:t xml:space="preserve">Three layers prevent this: ABAC policies block unauthorized access at the query level, the PIIFilter redacts email addresses, phone numbers, SSNs, and credit card numbers from every generated answer, and the audit log provides a tamper-evident chain of custody for every data access event. Client-role users can only see their own tickets via the portal.</w:t>
      </w:r>
    </w:p>
    <w:p>
      <w:pPr>
        <w:pStyle w:val="Heading3"/>
        <w:spacing w:after="60" w:before="180"/>
      </w:pPr>
      <w:r>
        <w:rPr>
          <w:rFonts w:ascii="Arial" w:cs="Arial" w:eastAsia="Arial" w:hAnsi="Arial"/>
          <w:b/>
          <w:bCs/>
          <w:color w:val="4A4A4A"/>
          <w:sz w:val="23"/>
          <w:szCs w:val="23"/>
        </w:rPr>
        <w:t xml:space="preserve">Q: How much does this cost to run?</w:t>
      </w:r>
    </w:p>
    <w:p>
      <w:pPr>
        <w:spacing w:after="120" w:before="40"/>
      </w:pPr>
      <w:r>
        <w:rPr>
          <w:rFonts w:ascii="Arial" w:cs="Arial" w:eastAsia="Arial" w:hAnsi="Arial"/>
          <w:color w:val="1A1A1A"/>
          <w:sz w:val="22"/>
          <w:szCs w:val="22"/>
        </w:rPr>
        <w:t xml:space="preserve">The evaluation framework provides cost-per-query estimates. A full eval run (80 queries, all 4 models) costs approximately $2.82. A typical operational query using gpt-4o-mini costs less than $0.002. The Council orchestrator is more expensive (3 LLM calls) at approximately $0.01 per decision. Token budgets in the ContextManager cap runaway costs automatically.</w:t>
      </w:r>
    </w:p>
    <w:p>
      <w:pPr>
        <w:pStyle w:val="Heading3"/>
        <w:spacing w:after="60" w:before="180"/>
      </w:pPr>
      <w:r>
        <w:rPr>
          <w:rFonts w:ascii="Arial" w:cs="Arial" w:eastAsia="Arial" w:hAnsi="Arial"/>
          <w:b/>
          <w:bCs/>
          <w:color w:val="4A4A4A"/>
          <w:sz w:val="23"/>
          <w:szCs w:val="23"/>
        </w:rPr>
        <w:t xml:space="preserve">Q: How do we expand this to other MSP workflows?</w:t>
      </w:r>
    </w:p>
    <w:p>
      <w:pPr>
        <w:spacing w:after="120" w:before="40"/>
      </w:pPr>
      <w:r>
        <w:rPr>
          <w:rFonts w:ascii="Arial" w:cs="Arial" w:eastAsia="Arial" w:hAnsi="Arial"/>
          <w:color w:val="1A1A1A"/>
          <w:sz w:val="22"/>
          <w:szCs w:val="22"/>
        </w:rPr>
        <w:t xml:space="preserve">The Skills Library strategy (Section 4.2) is the answer. Each new workflow — ticket triage, contract renewal, AR risk — is implemented as a versioned Skill with typed inputs, outputs, and eval test cases. New data sources connect via the MCP server’s 17-tool interface. The Council Orchestrator can run any Skill for high-stakes decisions.</w:t>
      </w:r>
    </w:p>
    <w:p>
      <w:r>
        <w:br w:type="page"/>
      </w:r>
    </w:p>
    <w:p>
      <w:pPr>
        <w:pStyle w:val="Heading1"/>
        <w:spacing w:after="120" w:before="320"/>
      </w:pPr>
      <w:r>
        <w:rPr>
          <w:rFonts w:ascii="Arial" w:cs="Arial" w:eastAsia="Arial" w:hAnsi="Arial"/>
          <w:b/>
          <w:bCs/>
          <w:color w:val="1B3A6B"/>
          <w:sz w:val="32"/>
          <w:szCs w:val="32"/>
        </w:rPr>
        <w:t xml:space="preserve">Section 6: Six-Week Implementation Roadmap</w:t>
      </w:r>
    </w:p>
    <w:p>
      <w:pPr>
        <w:pBdr>
          <w:bottom w:val="single" w:color="2E75B6" w:sz="8" w:space="1"/>
        </w:pBdr>
        <w:spacing w:after="120" w:before="0"/>
      </w:pPr>
    </w:p>
    <w:p>
      <w:pPr>
        <w:spacing w:after="120" w:before="40"/>
      </w:pPr>
      <w:r>
        <w:rPr>
          <w:rFonts w:ascii="Arial" w:cs="Arial" w:eastAsia="Arial" w:hAnsi="Arial"/>
          <w:color w:val="1A1A1A"/>
          <w:sz w:val="22"/>
          <w:szCs w:val="22"/>
        </w:rPr>
        <w:t xml:space="preserve">The following roadmap prioritizes enhancements by business impact and implementation effort. Items marked [BEFORE THURSDAY] should be completed before the leadership presentation.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600"/>
        <w:gridCol w:w="2560"/>
      </w:tblGrid>
      <w:tr>
        <w:trPr>
          <w:tblHeader/>
        </w:trPr>
        <w:tc>
          <w:tcPr>
            <w:tcW w:type="dxa" w:w="100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Week</w:t>
            </w:r>
          </w:p>
        </w:tc>
        <w:tc>
          <w:tcPr>
            <w:tcW w:type="dxa" w:w="320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Enhancement</w:t>
            </w:r>
          </w:p>
        </w:tc>
        <w:tc>
          <w:tcPr>
            <w:tcW w:type="dxa" w:w="260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Business Benefit</w:t>
            </w:r>
          </w:p>
        </w:tc>
        <w:tc>
          <w:tcPr>
            <w:tcW w:type="dxa" w:w="256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Effort</w:t>
            </w:r>
          </w:p>
        </w:tc>
      </w:tr>
      <w:tr>
        <w:tc>
          <w:tcPr>
            <w:tcW w:type="dxa" w:w="100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Pre-Thu</w:t>
            </w:r>
          </w:p>
        </w:tc>
        <w:tc>
          <w:tcPr>
            <w:tcW w:type="dxa" w:w="3200"/>
            <w:tcBorders>
              <w:top w:val="single" w:color="D0DAE8" w:sz="1"/>
              <w:left w:val="single" w:color="D0DAE8" w:sz="1"/>
              <w:bottom w:val="single" w:color="D0DAE8" w:sz="1"/>
              <w:right w:val="single" w:color="D0DAE8" w:sz="1"/>
            </w:tcBorders>
            <w:shd w:fill="E3EF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Enforce prod HMAC key at startup</w:t>
            </w:r>
          </w:p>
        </w:tc>
        <w:tc>
          <w:tcPr>
            <w:tcW w:type="dxa" w:w="2600"/>
            <w:tcBorders>
              <w:top w:val="single" w:color="D0DAE8" w:sz="1"/>
              <w:left w:val="single" w:color="D0DAE8" w:sz="1"/>
              <w:bottom w:val="single" w:color="D0DAE8" w:sz="1"/>
              <w:right w:val="single" w:color="D0DAE8" w:sz="1"/>
            </w:tcBorders>
            <w:shd w:fill="E3EF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Compliance-ready audit log</w:t>
            </w:r>
          </w:p>
        </w:tc>
        <w:tc>
          <w:tcPr>
            <w:tcW w:type="dxa" w:w="2560"/>
            <w:tcBorders>
              <w:top w:val="single" w:color="D0DAE8" w:sz="1"/>
              <w:left w:val="single" w:color="D0DAE8" w:sz="1"/>
              <w:bottom w:val="single" w:color="D0DAE8" w:sz="1"/>
              <w:right w:val="single" w:color="D0DAE8" w:sz="1"/>
            </w:tcBorders>
            <w:shd w:fill="E3EF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0.5 day</w:t>
            </w:r>
          </w:p>
        </w:tc>
      </w:tr>
      <w:tr>
        <w:tc>
          <w:tcPr>
            <w:tcW w:type="dxa" w:w="1000"/>
            <w:tcBorders>
              <w:top w:val="single" w:color="D0DAE8" w:sz="1"/>
              <w:left w:val="single" w:color="D0DAE8" w:sz="1"/>
              <w:bottom w:val="single" w:color="D0DAE8" w:sz="1"/>
              <w:right w:val="single" w:color="D0DAE8"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Pre-Thu</w:t>
            </w:r>
          </w:p>
        </w:tc>
        <w:tc>
          <w:tcPr>
            <w:tcW w:type="dxa" w:w="3200"/>
            <w:tcBorders>
              <w:top w:val="single" w:color="D0DAE8" w:sz="1"/>
              <w:left w:val="single" w:color="D0DAE8" w:sz="1"/>
              <w:bottom w:val="single" w:color="D0DAE8" w:sz="1"/>
              <w:right w:val="single" w:color="D0DAE8" w:sz="1"/>
            </w:tcBorders>
            <w:shd w:fill="E3EF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Add API rate limiting (per-role token budgets)</w:t>
            </w:r>
          </w:p>
        </w:tc>
        <w:tc>
          <w:tcPr>
            <w:tcW w:type="dxa" w:w="2600"/>
            <w:tcBorders>
              <w:top w:val="single" w:color="D0DAE8" w:sz="1"/>
              <w:left w:val="single" w:color="D0DAE8" w:sz="1"/>
              <w:bottom w:val="single" w:color="D0DAE8" w:sz="1"/>
              <w:right w:val="single" w:color="D0DAE8" w:sz="1"/>
            </w:tcBorders>
            <w:shd w:fill="E3EF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Prevents runaway cost; shows governance maturity</w:t>
            </w:r>
          </w:p>
        </w:tc>
        <w:tc>
          <w:tcPr>
            <w:tcW w:type="dxa" w:w="2560"/>
            <w:tcBorders>
              <w:top w:val="single" w:color="D0DAE8" w:sz="1"/>
              <w:left w:val="single" w:color="D0DAE8" w:sz="1"/>
              <w:bottom w:val="single" w:color="D0DAE8" w:sz="1"/>
              <w:right w:val="single" w:color="D0DAE8" w:sz="1"/>
            </w:tcBorders>
            <w:shd w:fill="E3EF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1 day</w:t>
            </w:r>
          </w:p>
        </w:tc>
      </w:tr>
      <w:tr>
        <w:tc>
          <w:tcPr>
            <w:tcW w:type="dxa" w:w="10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center"/>
            </w:pPr>
            <w:r>
              <w:rPr>
                <w:rFonts w:ascii="Arial" w:cs="Arial" w:eastAsia="Arial" w:hAnsi="Arial"/>
                <w:b/>
                <w:bCs/>
                <w:color w:val="1B3A6B"/>
                <w:sz w:val="20"/>
                <w:szCs w:val="20"/>
              </w:rPr>
              <w:t xml:space="preserve">Week 1</w:t>
            </w:r>
          </w:p>
        </w:tc>
        <w:tc>
          <w:tcPr>
            <w:tcW w:type="dxa" w:w="32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Embedding-based injection detection (2nd layer PromptGuard)</w:t>
            </w:r>
          </w:p>
        </w:tc>
        <w:tc>
          <w:tcPr>
            <w:tcW w:type="dxa" w:w="26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Closes OWASP LLM-01 gap</w:t>
            </w:r>
          </w:p>
        </w:tc>
        <w:tc>
          <w:tcPr>
            <w:tcW w:type="dxa" w:w="256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2 days</w:t>
            </w:r>
          </w:p>
        </w:tc>
      </w:tr>
      <w:tr>
        <w:tc>
          <w:tcPr>
            <w:tcW w:type="dxa" w:w="10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center"/>
            </w:pPr>
            <w:r>
              <w:rPr>
                <w:rFonts w:ascii="Arial" w:cs="Arial" w:eastAsia="Arial" w:hAnsi="Arial"/>
                <w:b/>
                <w:bCs/>
                <w:color w:val="1B3A6B"/>
                <w:sz w:val="20"/>
                <w:szCs w:val="20"/>
              </w:rPr>
              <w:t xml:space="preserve">Week 1</w:t>
            </w:r>
          </w:p>
        </w:tc>
        <w:tc>
          <w:tcPr>
            <w:tcW w:type="dxa" w:w="32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MCP server native auth (API key / OAuth 2.0)</w:t>
            </w:r>
          </w:p>
        </w:tc>
        <w:tc>
          <w:tcPr>
            <w:tcW w:type="dxa" w:w="26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Removes direct-access risk to 17 tools</w:t>
            </w:r>
          </w:p>
        </w:tc>
        <w:tc>
          <w:tcPr>
            <w:tcW w:type="dxa" w:w="256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1 day</w:t>
            </w:r>
          </w:p>
        </w:tc>
      </w:tr>
      <w:tr>
        <w:tc>
          <w:tcPr>
            <w:tcW w:type="dxa" w:w="10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1B3A6B"/>
                <w:sz w:val="20"/>
                <w:szCs w:val="20"/>
              </w:rPr>
              <w:t xml:space="preserve">Week 2</w:t>
            </w:r>
          </w:p>
        </w:tc>
        <w:tc>
          <w:tcPr>
            <w:tcW w:type="dxa" w:w="32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Episodic session memory (rolling 10-turn buffer)</w:t>
            </w:r>
          </w:p>
        </w:tc>
        <w:tc>
          <w:tcPr>
            <w:tcW w:type="dxa" w:w="26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Enables multi-turn reasoning; reduces context rot</w:t>
            </w:r>
          </w:p>
        </w:tc>
        <w:tc>
          <w:tcPr>
            <w:tcW w:type="dxa" w:w="256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3 days</w:t>
            </w:r>
          </w:p>
        </w:tc>
      </w:tr>
      <w:tr>
        <w:tc>
          <w:tcPr>
            <w:tcW w:type="dxa" w:w="10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1B3A6B"/>
                <w:sz w:val="20"/>
                <w:szCs w:val="20"/>
              </w:rPr>
              <w:t xml:space="preserve">Week 2</w:t>
            </w:r>
          </w:p>
        </w:tc>
        <w:tc>
          <w:tcPr>
            <w:tcW w:type="dxa" w:w="32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Dynamic query complexity classifier + budget allocation</w:t>
            </w:r>
          </w:p>
        </w:tc>
        <w:tc>
          <w:tcPr>
            <w:tcW w:type="dxa" w:w="26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Reduces cost on simple queries; improves complex ones</w:t>
            </w:r>
          </w:p>
        </w:tc>
        <w:tc>
          <w:tcPr>
            <w:tcW w:type="dxa" w:w="256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1 day</w:t>
            </w:r>
          </w:p>
        </w:tc>
      </w:tr>
      <w:tr>
        <w:tc>
          <w:tcPr>
            <w:tcW w:type="dxa" w:w="10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center"/>
            </w:pPr>
            <w:r>
              <w:rPr>
                <w:rFonts w:ascii="Arial" w:cs="Arial" w:eastAsia="Arial" w:hAnsi="Arial"/>
                <w:b/>
                <w:bCs/>
                <w:color w:val="1B3A6B"/>
                <w:sz w:val="20"/>
                <w:szCs w:val="20"/>
              </w:rPr>
              <w:t xml:space="preserve">Week 3</w:t>
            </w:r>
          </w:p>
        </w:tc>
        <w:tc>
          <w:tcPr>
            <w:tcW w:type="dxa" w:w="32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Approval queue for justification_required actions</w:t>
            </w:r>
          </w:p>
        </w:tc>
        <w:tc>
          <w:tcPr>
            <w:tcW w:type="dxa" w:w="26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Enforces policy DSL intent; human-in-the-loop for exports</w:t>
            </w:r>
          </w:p>
        </w:tc>
        <w:tc>
          <w:tcPr>
            <w:tcW w:type="dxa" w:w="256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2 days</w:t>
            </w:r>
          </w:p>
        </w:tc>
      </w:tr>
      <w:tr>
        <w:tc>
          <w:tcPr>
            <w:tcW w:type="dxa" w:w="10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center"/>
            </w:pPr>
            <w:r>
              <w:rPr>
                <w:rFonts w:ascii="Arial" w:cs="Arial" w:eastAsia="Arial" w:hAnsi="Arial"/>
                <w:b/>
                <w:bCs/>
                <w:color w:val="1B3A6B"/>
                <w:sz w:val="20"/>
                <w:szCs w:val="20"/>
              </w:rPr>
              <w:t xml:space="preserve">Week 3</w:t>
            </w:r>
          </w:p>
        </w:tc>
        <w:tc>
          <w:tcPr>
            <w:tcW w:type="dxa" w:w="32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CI/CD eval regression gating (eval framework)</w:t>
            </w:r>
          </w:p>
        </w:tc>
        <w:tc>
          <w:tcPr>
            <w:tcW w:type="dxa" w:w="26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Quality gate before any pipeline change ships</w:t>
            </w:r>
          </w:p>
        </w:tc>
        <w:tc>
          <w:tcPr>
            <w:tcW w:type="dxa" w:w="256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1 day</w:t>
            </w:r>
          </w:p>
        </w:tc>
      </w:tr>
      <w:tr>
        <w:tc>
          <w:tcPr>
            <w:tcW w:type="dxa" w:w="10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1B3A6B"/>
                <w:sz w:val="20"/>
                <w:szCs w:val="20"/>
              </w:rPr>
              <w:t xml:space="preserve">Week 4</w:t>
            </w:r>
          </w:p>
        </w:tc>
        <w:tc>
          <w:tcPr>
            <w:tcW w:type="dxa" w:w="32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AR Risk Alert + Client Health Score (first two Skills)</w:t>
            </w:r>
          </w:p>
        </w:tc>
        <w:tc>
          <w:tcPr>
            <w:tcW w:type="dxa" w:w="26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First proactive MSP intelligence capabilities</w:t>
            </w:r>
          </w:p>
        </w:tc>
        <w:tc>
          <w:tcPr>
            <w:tcW w:type="dxa" w:w="256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3 days</w:t>
            </w:r>
          </w:p>
        </w:tc>
      </w:tr>
      <w:tr>
        <w:tc>
          <w:tcPr>
            <w:tcW w:type="dxa" w:w="10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1B3A6B"/>
                <w:sz w:val="20"/>
                <w:szCs w:val="20"/>
              </w:rPr>
              <w:t xml:space="preserve">Week 4</w:t>
            </w:r>
          </w:p>
        </w:tc>
        <w:tc>
          <w:tcPr>
            <w:tcW w:type="dxa" w:w="32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Incremental index refresh (delta collectors, nightly job)</w:t>
            </w:r>
          </w:p>
        </w:tc>
        <w:tc>
          <w:tcPr>
            <w:tcW w:type="dxa" w:w="260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Eliminates staleness rot from FAISS / Supabase indexes</w:t>
            </w:r>
          </w:p>
        </w:tc>
        <w:tc>
          <w:tcPr>
            <w:tcW w:type="dxa" w:w="2560"/>
            <w:tcBorders>
              <w:top w:val="single" w:color="D0DAE8" w:sz="1"/>
              <w:left w:val="single" w:color="D0DAE8" w:sz="1"/>
              <w:bottom w:val="single" w:color="D0DAE8" w:sz="1"/>
              <w:right w:val="single" w:color="D0DAE8"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3 days</w:t>
            </w:r>
          </w:p>
        </w:tc>
      </w:tr>
      <w:tr>
        <w:tc>
          <w:tcPr>
            <w:tcW w:type="dxa" w:w="10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center"/>
            </w:pPr>
            <w:r>
              <w:rPr>
                <w:rFonts w:ascii="Arial" w:cs="Arial" w:eastAsia="Arial" w:hAnsi="Arial"/>
                <w:b/>
                <w:bCs/>
                <w:color w:val="1B3A6B"/>
                <w:sz w:val="20"/>
                <w:szCs w:val="20"/>
              </w:rPr>
              <w:t xml:space="preserve">Week 5–6</w:t>
            </w:r>
          </w:p>
        </w:tc>
        <w:tc>
          <w:tcPr>
            <w:tcW w:type="dxa" w:w="32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Semantic memory layer (cross-session client knowledge)</w:t>
            </w:r>
          </w:p>
        </w:tc>
        <w:tc>
          <w:tcPr>
            <w:tcW w:type="dxa" w:w="26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Long-horizon client intelligence; true AI-native capability</w:t>
            </w:r>
          </w:p>
        </w:tc>
        <w:tc>
          <w:tcPr>
            <w:tcW w:type="dxa" w:w="256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5 days</w:t>
            </w:r>
          </w:p>
        </w:tc>
      </w:tr>
      <w:tr>
        <w:tc>
          <w:tcPr>
            <w:tcW w:type="dxa" w:w="10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center"/>
            </w:pPr>
            <w:r>
              <w:rPr>
                <w:rFonts w:ascii="Arial" w:cs="Arial" w:eastAsia="Arial" w:hAnsi="Arial"/>
                <w:b/>
                <w:bCs/>
                <w:color w:val="1B3A6B"/>
                <w:sz w:val="20"/>
                <w:szCs w:val="20"/>
              </w:rPr>
              <w:t xml:space="preserve">Week 5–6</w:t>
            </w:r>
          </w:p>
        </w:tc>
        <w:tc>
          <w:tcPr>
            <w:tcW w:type="dxa" w:w="32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Contract Renewal + SLA Breach Prediction Skills</w:t>
            </w:r>
          </w:p>
        </w:tc>
        <w:tc>
          <w:tcPr>
            <w:tcW w:type="dxa" w:w="260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Directly reduces revenue leakage and SLA penalties</w:t>
            </w:r>
          </w:p>
        </w:tc>
        <w:tc>
          <w:tcPr>
            <w:tcW w:type="dxa" w:w="2560"/>
            <w:tcBorders>
              <w:top w:val="single" w:color="D0DAE8" w:sz="1"/>
              <w:left w:val="single" w:color="D0DAE8" w:sz="1"/>
              <w:bottom w:val="single" w:color="D0DAE8" w:sz="1"/>
              <w:right w:val="single" w:color="D0DAE8"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4 days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9" w:val="clear"/>
            <w:tcMar>
              <w:top w:type="dxa" w:w="140"/>
              <w:left w:type="dxa" w:w="200"/>
              <w:bottom w:type="dxa" w:w="140"/>
              <w:right w:type="dxa" w:w="200"/>
            </w:tcMar>
          </w:tcPr>
          <w:p>
            <w:pPr>
              <w:spacing w:after="80" w:before="0"/>
            </w:pPr>
            <w:r>
              <w:rPr>
                <w:rFonts w:ascii="Arial" w:cs="Arial" w:eastAsia="Arial" w:hAnsi="Arial"/>
                <w:b/>
                <w:bCs/>
                <w:color w:val="FFFFFF"/>
                <w:sz w:val="22"/>
                <w:szCs w:val="22"/>
              </w:rPr>
              <w:t xml:space="preserve">Total Estimated Effort</w:t>
            </w:r>
          </w:p>
          <w:p>
            <w:pPr>
              <w:spacing w:after="60" w:before="0"/>
            </w:pPr>
            <w:r>
              <w:rPr>
                <w:rFonts w:ascii="Arial" w:cs="Arial" w:eastAsia="Arial" w:hAnsi="Arial"/>
                <w:color w:val="1A1A1A"/>
                <w:sz w:val="20"/>
                <w:szCs w:val="20"/>
              </w:rPr>
              <w:t xml:space="preserve">Pre-Thursday (critical path): 1.5 days</w:t>
            </w:r>
          </w:p>
          <w:p>
            <w:pPr>
              <w:spacing w:after="60" w:before="0"/>
            </w:pPr>
            <w:r>
              <w:rPr>
                <w:rFonts w:ascii="Arial" w:cs="Arial" w:eastAsia="Arial" w:hAnsi="Arial"/>
                <w:color w:val="1A1A1A"/>
                <w:sz w:val="20"/>
                <w:szCs w:val="20"/>
              </w:rPr>
              <w:t xml:space="preserve">Full 6-week roadmap: approximately 26–28 engineer-days</w:t>
            </w:r>
          </w:p>
          <w:p>
            <w:pPr>
              <w:spacing w:after="60" w:before="0"/>
            </w:pPr>
            <w:r>
              <w:rPr>
                <w:rFonts w:ascii="Arial" w:cs="Arial" w:eastAsia="Arial" w:hAnsi="Arial"/>
                <w:color w:val="1A1A1A"/>
                <w:sz w:val="20"/>
                <w:szCs w:val="20"/>
              </w:rPr>
              <w:t xml:space="preserve">All enhancements build on existing infrastructure — no architectural rewrites required.</w:t>
            </w:r>
          </w:p>
          <w:p>
            <w:pPr>
              <w:spacing w:after="60" w:before="0"/>
            </w:pPr>
            <w:r>
              <w:rPr>
                <w:rFonts w:ascii="Arial" w:cs="Arial" w:eastAsia="Arial" w:hAnsi="Arial"/>
                <w:color w:val="1A1A1A"/>
                <w:sz w:val="20"/>
                <w:szCs w:val="20"/>
              </w:rPr>
              <w:t xml:space="preserve">The platform’s modular design (each module in src/ has a clear interface) means all enhancements are additive, not disruptive.</w:t>
            </w:r>
          </w:p>
        </w:tc>
      </w:tr>
    </w:tbl>
    <w:p>
      <w:r>
        <w:br w:type="page"/>
      </w:r>
    </w:p>
    <w:p>
      <w:pPr>
        <w:pStyle w:val="Heading1"/>
        <w:spacing w:after="120" w:before="320"/>
      </w:pPr>
      <w:r>
        <w:rPr>
          <w:rFonts w:ascii="Arial" w:cs="Arial" w:eastAsia="Arial" w:hAnsi="Arial"/>
          <w:b/>
          <w:bCs/>
          <w:color w:val="1B3A6B"/>
          <w:sz w:val="32"/>
          <w:szCs w:val="32"/>
        </w:rPr>
        <w:t xml:space="preserve">Closing: From Prototype to Platform</w:t>
      </w:r>
    </w:p>
    <w:p>
      <w:pPr>
        <w:pBdr>
          <w:bottom w:val="single" w:color="2E75B6" w:sz="8" w:space="1"/>
        </w:pBdr>
        <w:spacing w:after="120" w:before="0"/>
      </w:pPr>
    </w:p>
    <w:p>
      <w:pPr>
        <w:spacing w:after="120" w:before="40"/>
      </w:pPr>
      <w:r>
        <w:rPr>
          <w:rFonts w:ascii="Arial" w:cs="Arial" w:eastAsia="Arial" w:hAnsi="Arial"/>
          <w:color w:val="1A1A1A"/>
          <w:sz w:val="22"/>
          <w:szCs w:val="22"/>
        </w:rPr>
        <w:t xml:space="preserve">The Enterprise RAG Intelligence Hub is not a proof of concept. It is an implemented, tested, multi-layer system with hybrid retrieval, multi-agent orchestration, ABAC security, context-aware assembly, failure-biased observability, and a quantitative evaluation framework. Most enterprise AI teams take 12–18 months to reach this architectural maturity. TechVault has it now.</w:t>
      </w:r>
    </w:p>
    <w:p>
      <w:pPr>
        <w:spacing w:after="80" w:before="40"/>
      </w:pPr>
    </w:p>
    <w:p>
      <w:pPr>
        <w:spacing w:after="120" w:before="40"/>
      </w:pPr>
      <w:r>
        <w:rPr>
          <w:rFonts w:ascii="Arial" w:cs="Arial" w:eastAsia="Arial" w:hAnsi="Arial"/>
          <w:color w:val="1A1A1A"/>
          <w:sz w:val="22"/>
          <w:szCs w:val="22"/>
        </w:rPr>
        <w:t xml:space="preserve">The conference was clear about what separates AI-capable organizations from AI-native ones: the AI-native organization has wired AI into its operating model, not just its tech stack. The enhancements in this brief — the Skills Library, proactive intelligence, session memory, and evaluation-as-a-gate — are the bridge from one to the other.</w:t>
      </w:r>
    </w:p>
    <w:p>
      <w:pPr>
        <w:spacing w:after="80" w:before="40"/>
      </w:pPr>
    </w:p>
    <w:p>
      <w:pPr>
        <w:spacing w:after="120" w:before="40"/>
      </w:pPr>
      <w:r>
        <w:rPr>
          <w:rFonts w:ascii="Arial" w:cs="Arial" w:eastAsia="Arial" w:hAnsi="Arial"/>
          <w:color w:val="1A1A1A"/>
          <w:sz w:val="22"/>
          <w:szCs w:val="22"/>
        </w:rPr>
        <w:t xml:space="preserve">The Thursday leadership discussion is an opportunity to frame this not as a technology demonstration but as a strategic inflection point: TechVault can be the MSP that competes on intelligence, not just on price or headcount. This platform is the evidence that the capability is real, the architecture is sound, and the roadmap is executable.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2E75B6" w:sz="12"/>
              <w:left w:val="none" w:color="FFFFFF" w:sz="0"/>
              <w:bottom w:val="none" w:color="FFFFFF" w:sz="0"/>
              <w:right w:val="none" w:color="FFFFFF" w:sz="0"/>
            </w:tcBorders>
            <w:shd w:fill="F5F7FA" w:val="clear"/>
            <w:tcMar>
              <w:top w:type="dxa" w:w="160"/>
              <w:left w:type="dxa" w:w="160"/>
              <w:bottom w:type="dxa" w:w="160"/>
              <w:right w:type="dxa" w:w="160"/>
            </w:tcMar>
          </w:tcPr>
          <w:p>
            <w:pPr>
              <w:spacing w:after="40" w:before="0"/>
            </w:pPr>
            <w:r>
              <w:rPr>
                <w:rFonts w:ascii="Arial" w:cs="Arial" w:eastAsia="Arial" w:hAnsi="Arial"/>
                <w:b/>
                <w:bCs/>
                <w:color w:val="1B3A6B"/>
                <w:sz w:val="24"/>
                <w:szCs w:val="24"/>
              </w:rPr>
              <w:t xml:space="preserve">Security</w:t>
            </w:r>
          </w:p>
          <w:p>
            <w:pPr>
              <w:spacing w:after="0" w:before="0"/>
            </w:pPr>
            <w:r>
              <w:rPr>
                <w:rFonts w:ascii="Arial" w:cs="Arial" w:eastAsia="Arial" w:hAnsi="Arial"/>
                <w:color w:val="1A1A1A"/>
                <w:sz w:val="20"/>
                <w:szCs w:val="20"/>
              </w:rPr>
              <w:t xml:space="preserve">5 targeted enhancements close the gap from “secured” to “compliance-ready”</w:t>
            </w:r>
          </w:p>
        </w:tc>
        <w:tc>
          <w:tcPr>
            <w:tcBorders>
              <w:top w:val="single" w:color="2E7D32" w:sz="12"/>
              <w:left w:val="none" w:color="FFFFFF" w:sz="0"/>
              <w:bottom w:val="none" w:color="FFFFFF" w:sz="0"/>
              <w:right w:val="none" w:color="FFFFFF" w:sz="0"/>
            </w:tcBorders>
            <w:shd w:fill="F5F7FA" w:val="clear"/>
            <w:tcMar>
              <w:top w:type="dxa" w:w="160"/>
              <w:left w:type="dxa" w:w="160"/>
              <w:bottom w:type="dxa" w:w="160"/>
              <w:right w:type="dxa" w:w="160"/>
            </w:tcMar>
          </w:tcPr>
          <w:p>
            <w:pPr>
              <w:spacing w:after="40" w:before="0"/>
            </w:pPr>
            <w:r>
              <w:rPr>
                <w:rFonts w:ascii="Arial" w:cs="Arial" w:eastAsia="Arial" w:hAnsi="Arial"/>
                <w:b/>
                <w:bCs/>
                <w:color w:val="1B3A6B"/>
                <w:sz w:val="24"/>
                <w:szCs w:val="24"/>
              </w:rPr>
              <w:t xml:space="preserve">Context</w:t>
            </w:r>
          </w:p>
          <w:p>
            <w:pPr>
              <w:spacing w:after="0" w:before="0"/>
            </w:pPr>
            <w:r>
              <w:rPr>
                <w:rFonts w:ascii="Arial" w:cs="Arial" w:eastAsia="Arial" w:hAnsi="Arial"/>
                <w:color w:val="1A1A1A"/>
                <w:sz w:val="20"/>
                <w:szCs w:val="20"/>
              </w:rPr>
              <w:t xml:space="preserve">4 mitigations turn a stateless pipeline into a memory-aware agent</w:t>
            </w:r>
          </w:p>
        </w:tc>
        <w:tc>
          <w:tcPr>
            <w:tcBorders>
              <w:top w:val="single" w:color="C47A00" w:sz="12"/>
              <w:left w:val="none" w:color="FFFFFF" w:sz="0"/>
              <w:bottom w:val="none" w:color="FFFFFF" w:sz="0"/>
              <w:right w:val="none" w:color="FFFFFF" w:sz="0"/>
            </w:tcBorders>
            <w:shd w:fill="F5F7FA" w:val="clear"/>
            <w:tcMar>
              <w:top w:type="dxa" w:w="160"/>
              <w:left w:type="dxa" w:w="160"/>
              <w:bottom w:type="dxa" w:w="160"/>
              <w:right w:type="dxa" w:w="160"/>
            </w:tcMar>
          </w:tcPr>
          <w:p>
            <w:pPr>
              <w:spacing w:after="40" w:before="0"/>
            </w:pPr>
            <w:r>
              <w:rPr>
                <w:rFonts w:ascii="Arial" w:cs="Arial" w:eastAsia="Arial" w:hAnsi="Arial"/>
                <w:b/>
                <w:bCs/>
                <w:color w:val="1B3A6B"/>
                <w:sz w:val="24"/>
                <w:szCs w:val="24"/>
              </w:rPr>
              <w:t xml:space="preserve">AI-Native MSP</w:t>
            </w:r>
          </w:p>
          <w:p>
            <w:pPr>
              <w:spacing w:after="0" w:before="0"/>
            </w:pPr>
            <w:r>
              <w:rPr>
                <w:rFonts w:ascii="Arial" w:cs="Arial" w:eastAsia="Arial" w:hAnsi="Arial"/>
                <w:color w:val="1A1A1A"/>
                <w:sz w:val="20"/>
                <w:szCs w:val="20"/>
              </w:rPr>
              <w:t xml:space="preserve">5 strategies wire AI into the operating model, not just the tech stack</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A5A5A"/>
        <w:sz w:val="16"/>
        <w:szCs w:val="16"/>
      </w:rPr>
      <w:t xml:space="preserve">Confidential  |  Prepared by AI &amp; Automation Engineering</w:t>
    </w:r>
    <w:r>
      <w:rPr>
        <w:rFonts w:ascii="Arial" w:cs="Arial" w:eastAsia="Arial" w:hAnsi="Arial"/>
        <w:sz w:val="16"/>
        <w:szCs w:val="16"/>
      </w:rPr>
      <w:t xml:space="preserve">	</w:t>
    </w:r>
    <w:r>
      <w:rPr>
        <w:rFonts w:ascii="Arial" w:cs="Arial" w:eastAsia="Arial" w:hAnsi="Arial"/>
        <w:color w:val="5A5A5A"/>
        <w:sz w:val="16"/>
        <w:szCs w:val="16"/>
      </w:rPr>
      <w:t xml:space="preserve">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20" w:before="0"/>
    </w:pPr>
    <w:r>
      <w:rPr>
        <w:rFonts w:ascii="Arial" w:cs="Arial" w:eastAsia="Arial" w:hAnsi="Arial"/>
        <w:color w:val="5A5A5A"/>
        <w:sz w:val="18"/>
        <w:szCs w:val="18"/>
      </w:rPr>
      <w:t xml:space="preserve">TechVault MSP  |  Enterprise RAG Intelligence Hub</w:t>
    </w:r>
    <w:r>
      <w:rPr>
        <w:rFonts w:ascii="Arial" w:cs="Arial" w:eastAsia="Arial" w:hAnsi="Arial"/>
        <w:sz w:val="18"/>
        <w:szCs w:val="18"/>
      </w:rPr>
      <w:t xml:space="preserve">	</w:t>
    </w:r>
    <w:r>
      <w:rPr>
        <w:rFonts w:ascii="Arial" w:cs="Arial" w:eastAsia="Arial" w:hAnsi="Arial"/>
        <w:i/>
        <w:iCs/>
        <w:color w:val="5A5A5A"/>
        <w:sz w:val="18"/>
        <w:szCs w:val="18"/>
      </w:rPr>
      <w:t xml:space="preserve">Review &amp; Improvement Brief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A4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2026-03-17T05:36:18.446Z</dcterms:created>
  <dcterms:modified xsi:type="dcterms:W3CDTF">2026-03-17T05:36:18.446Z</dcterms:modified>
</cp:coreProperties>
</file>

<file path=docProps/custom.xml><?xml version="1.0" encoding="utf-8"?>
<Properties xmlns="http://schemas.openxmlformats.org/officeDocument/2006/custom-properties" xmlns:vt="http://schemas.openxmlformats.org/officeDocument/2006/docPropsVTypes"/>
</file>