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8.png" ContentType="image/png"/>
  <Override PartName="/word/media/rId82.png" ContentType="image/png"/>
  <Override PartName="/word/media/rId69.png" ContentType="image/png"/>
  <Override PartName="/word/media/rId73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базовых математических моделей боевых действий — моделей Ланчестера. В подобных моделях рассматривается противоборство двух сторон, которое может происходить как между регулярными армиями, так и между нерегулярными формированиями. Основной характеристикой участников конфликта является численность их сил. Если в процессе моделирования численность одной из сторон становится равной нулю, то считается, что она потерпела поражение, при условии, что у противника в этот момент остаются боеспособные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модели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армий во времени.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характерных варианта описания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столкновение регулярных армий;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регулярной армии и партизанских формирований;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конфликт между двумя партизанскими группами.</w:t>
      </w:r>
    </w:p>
    <w:p>
      <w:pPr>
        <w:pStyle w:val="FirstParagraph"/>
      </w:pPr>
      <w:r>
        <w:t xml:space="preserve">В первом случае динамика численности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естественными потерями личного состава, не связанными непосредственно с боевыми действиями (болезни, травмы, дезертирство);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потерями, возникающими в результате столкновения противоборствующих сторон;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поступлением подкреплений, которое может зависеть от времени.</w:t>
      </w:r>
    </w:p>
    <w:p>
      <w:pPr>
        <w:pStyle w:val="FirstParagraph"/>
      </w:pPr>
      <w:r>
        <w:t xml:space="preserve">Тогда система уравнений, описывающая изменение численности армий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вызванные внешними факторами, не связанными с боем.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боевые потери. Параметры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показывают эффективность действий армий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, а коэффициенты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влияние дополнительных факторов.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моделируют поступление подкреплений.</w:t>
      </w:r>
    </w:p>
    <w:p>
      <w:pPr>
        <w:pStyle w:val="BodyText"/>
      </w:pPr>
      <w:r>
        <w:t xml:space="preserve">Во втором случае в конфликте участвуют партизанские формирования. Такие отряды действуют скрытно и рассредоточенно, поэтому воздействие на них происходит по всей территории их присутствия. В результате скорость потерь зависит не только от численности регулярной армии, но и от количества самих партизан.</w:t>
      </w:r>
    </w:p>
    <w:p>
      <w:pPr>
        <w:pStyle w:val="BodyText"/>
      </w:pPr>
      <w:r>
        <w:t xml:space="preserve">Соответствующая модель записывается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Если обе стороны представлены партизанскими формированиями, то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простейшем варианте модели предполагается, что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постоянны. Это означает,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 Дополнительно предполагается отсутствие подкреплений и внешних потерь.</w:t>
      </w:r>
    </w:p>
    <w:p>
      <w:pPr>
        <w:pStyle w:val="BodyText"/>
      </w:pPr>
      <w:r>
        <w:t xml:space="preserve">В этом случае система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этой системы можно получить точное решение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После интегрирования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Следовательно, изменение численностей армий происходит вдоль гиперболы, определяемой данным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Конкретная траектория зависит от начальных значений.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расположена выше этой линии, то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уменьшается до нуля, и победу одерживает армия</w:t>
      </w:r>
      <w:r>
        <w:t xml:space="preserve"> </w:t>
      </w:r>
      <m:oMath>
        <m:r>
          <m:t>y</m:t>
        </m:r>
      </m:oMath>
      <w:r>
        <w:t xml:space="preserve">. Если же начальная точка находится ниже, победителем становится армия</w:t>
      </w:r>
      <w:r>
        <w:t xml:space="preserve"> </w:t>
      </w:r>
      <m:oMath>
        <m:r>
          <m:t>x</m:t>
        </m:r>
      </m:oMath>
      <w:r>
        <w:t xml:space="preserve">. В случае расположения начальной точки на разделяющей прямой конфликт приводит к взаимному истощению сторон.</w:t>
      </w:r>
    </w:p>
    <w:p>
      <w:pPr>
        <w:pStyle w:val="BodyText"/>
      </w:pPr>
      <w:r>
        <w:t xml:space="preserve">Модель показывает, что для противостояния противнику, превосходящему по численности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раз, требуется увеличение эффективности вооружения примерно в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раз. Несмотря на значительную идеализацию, подобные модели позволяют проводить предварительный анализ динамики конфликта.</w:t>
      </w:r>
    </w:p>
    <w:p>
      <w:pPr>
        <w:pStyle w:val="BodyText"/>
      </w:pPr>
      <w:r>
        <w:t xml:space="preserve">Если рассматривать взаимодействие регулярной армии и партизан с теми же упрощениями,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сводится к уравнению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Отсюда следует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анализа фазовых траекторий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 следует, что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армия, а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— партизанские силы. Таким образом, исход конфликта определяется не только начальными численностями, но и эффективностью ведения боевых действий.</w:t>
      </w:r>
    </w:p>
    <w:bookmarkEnd w:id="30"/>
    <w:bookmarkStart w:id="3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вооружённый конфликт 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 Численности армий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обозначим через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насчитывает</w:t>
      </w:r>
      <w:r>
        <w:t xml:space="preserve"> </w:t>
      </w:r>
      <m:oMath>
        <m:r>
          <m:t>32888</m:t>
        </m:r>
      </m:oMath>
      <w:r>
        <w:t xml:space="preserve"> </w:t>
      </w:r>
      <w:r>
        <w:t xml:space="preserve">человек;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17777</m:t>
        </m:r>
      </m:oMath>
      <w:r>
        <w:t xml:space="preserve"> </w:t>
      </w:r>
      <w:r>
        <w:t xml:space="preserve">человек.</w:t>
      </w:r>
    </w:p>
    <w:p>
      <w:pPr>
        <w:pStyle w:val="FirstParagraph"/>
      </w:pPr>
      <w:r>
        <w:t xml:space="preserve">Предположим,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Требуется построить графики изменения численности армий для следующих моделей.</w:t>
      </w:r>
    </w:p>
    <w:bookmarkStart w:id="31" w:name="X37c647783a0d1e0b6274cff853a0d7e99fafdf8"/>
    <w:p>
      <w:pPr>
        <w:pStyle w:val="Heading3"/>
      </w:pPr>
      <w:r>
        <w:t xml:space="preserve">3.2.1 1. 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1"/>
    <w:bookmarkStart w:id="32" w:name="X45f1dc1203ad39105c7a6d060b15568962cef59"/>
    <w:p>
      <w:pPr>
        <w:pStyle w:val="Heading3"/>
      </w:pPr>
      <w:r>
        <w:t xml:space="preserve">3.2.2 2. Модель взаимодействия регулярной армии и партизанских формирований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динамики и построения графиков использовались внешние файлы с программным кодом:</w:t>
      </w:r>
    </w:p>
    <w:bookmarkEnd w:id="32"/>
    <w:bookmarkEnd w:id="33"/>
    <w:bookmarkEnd w:id="34"/>
    <w:bookmarkStart w:id="45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6"/>
    <w:bookmarkStart w:id="37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7"/>
    <w:bookmarkStart w:id="38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8"/>
    <w:bookmarkStart w:id="39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2"/>
    <w:bookmarkStart w:id="43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3"/>
    <w:bookmarkStart w:id="44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4"/>
    <w:bookmarkEnd w:id="45"/>
    <w:bookmarkStart w:id="86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2"/>
    <w:bookmarkStart w:id="53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3"/>
    <w:bookmarkStart w:id="54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4"/>
    <w:bookmarkStart w:id="5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5"/>
    <w:bookmarkStart w:id="56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6"/>
    <w:bookmarkStart w:id="57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7"/>
    <w:bookmarkStart w:id="58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8"/>
    <w:bookmarkStart w:id="59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9"/>
    <w:bookmarkStart w:id="68" w:name="базовые-эксперименты"/>
    <w:p>
      <w:pPr>
        <w:pStyle w:val="Heading2"/>
      </w:pPr>
      <w:r>
        <w:t xml:space="preserve">5.15 Базовые эксперименты</w:t>
      </w:r>
    </w:p>
    <w:bookmarkStart w:id="63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1" name="Picture"/>
            <a:graphic>
              <a:graphicData uri="http://schemas.openxmlformats.org/drawingml/2006/picture">
                <pic:pic>
                  <pic:nvPicPr>
                    <pic:cNvPr descr="image/single_experiment_line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График иллюстрирует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 для линейной системы. Обе функции постепенно уменьшаются по мере роста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остаётся положительной на всём интервале моделирования. Это говорит о постепенном уменьшении численности без резких скачков.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интервала практически достигает нулевого значения. Подобное поведение типично для линейных динамических систем, где решения экспоненциально стремятся к равновесию.</w:t>
      </w:r>
    </w:p>
    <w:p>
      <w:pPr>
        <w:pStyle w:val="BodyText"/>
      </w:pPr>
      <w:r>
        <w:t xml:space="preserve">Таким образом, линейная модель характеризуется устойчивой и предсказуемой динамикой.</w:t>
      </w:r>
    </w:p>
    <w:bookmarkEnd w:id="63"/>
    <w:bookmarkStart w:id="67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5" name="Picture"/>
            <a:graphic>
              <a:graphicData uri="http://schemas.openxmlformats.org/drawingml/2006/picture">
                <pic:pic>
                  <pic:nvPicPr>
                    <pic:cNvPr descr="image/single_experiment_nonlinea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иная картина.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сохраняет сравнительно большие значения на протяжении всего времени моделирования.</w:t>
      </w:r>
    </w:p>
    <w:p>
      <w:pPr>
        <w:pStyle w:val="BodyText"/>
      </w:pPr>
      <w:r>
        <w:t xml:space="preserve">В то же время 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уменьшается до нуля. После этого её значение остаётся близким к нулю.</w:t>
      </w:r>
    </w:p>
    <w:p>
      <w:pPr>
        <w:pStyle w:val="BodyText"/>
      </w:pPr>
      <w:r>
        <w:t xml:space="preserve">Такое поведение объясняется влиянием нелинейных членов, которые значительно усиливают скорость затухания одной из переменных.</w:t>
      </w:r>
    </w:p>
    <w:bookmarkEnd w:id="67"/>
    <w:bookmarkEnd w:id="68"/>
    <w:bookmarkStart w:id="77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2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0" name="Picture"/>
            <a:graphic>
              <a:graphicData uri="http://schemas.openxmlformats.org/drawingml/2006/picture">
                <pic:pic>
                  <pic:nvPicPr>
                    <pic:cNvPr descr="image/parametric_scan_x_comparis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исследование чувствительности модели к параметрам. 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Полученные результаты показывают, что увеличение параметра приводит к ускоренному уменьшению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уменьшение происходит медленно;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при увеличении параметра траектория становится более крутой;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заметны уже в середине интервала интегрирования.</w:t>
      </w:r>
    </w:p>
    <w:p>
      <w:pPr>
        <w:pStyle w:val="FirstParagraph"/>
      </w:pPr>
      <w:r>
        <w:t xml:space="preserve">Для нелинейной модели форма кривых становится более сложной из-за влияния нелинейных взаимодействий.</w:t>
      </w:r>
    </w:p>
    <w:bookmarkEnd w:id="72"/>
    <w:bookmarkStart w:id="76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4" name="Picture"/>
            <a:graphic>
              <a:graphicData uri="http://schemas.openxmlformats.org/drawingml/2006/picture">
                <pic:pic>
                  <pic:nvPicPr>
                    <pic:cNvPr descr="image/parametric_scan_y_comparis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проведено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увеличение параметра приводит к более быстрому уменьшению функции и более раннему приближению к нулю.</w:t>
      </w:r>
    </w:p>
    <w:p>
      <w:pPr>
        <w:pStyle w:val="BodyText"/>
      </w:pPr>
      <w:r>
        <w:t xml:space="preserve">В нелинейной системе поведение отличается: значение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становится близким к нулю независимо от параметров. Это связано с сильным подавлением динамики нелинейными членами.</w:t>
      </w:r>
    </w:p>
    <w:bookmarkEnd w:id="76"/>
    <w:bookmarkEnd w:id="77"/>
    <w:bookmarkStart w:id="81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9" name="Picture"/>
            <a:graphic>
              <a:graphicData uri="http://schemas.openxmlformats.org/drawingml/2006/picture">
                <pic:pic>
                  <pic:nvPicPr>
                    <pic:cNvPr descr="image/computation_time_vs_paramet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сравнение времени вычисления численного решения системы дифференциальных уравнений.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время расчёта линейной системы находится на уровне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для нелинейной системы время составляет примерно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–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затрат, абсолютное время вычислений остаётся крайне малым.</w:t>
      </w:r>
    </w:p>
    <w:bookmarkEnd w:id="81"/>
    <w:bookmarkStart w:id="85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3" name="Picture"/>
            <a:graphic>
              <a:graphicData uri="http://schemas.openxmlformats.org/drawingml/2006/picture">
                <pic:pic>
                  <pic:nvPicPr>
                    <pic:cNvPr descr="image/norm_final_vs_paramet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использовалась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отражает модуль состояния системы в конце временного интервала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снижение происходит быстрее;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 нелинейной системе значение метрики остаётся выше.</w:t>
      </w:r>
    </w:p>
    <w:p>
      <w:pPr>
        <w:pStyle w:val="FirstParagraph"/>
      </w:pPr>
      <w:r>
        <w:t xml:space="preserve">Это означает, что линейная система быстрее приближается к состоянию покоя.</w:t>
      </w:r>
    </w:p>
    <w:bookmarkEnd w:id="85"/>
    <w:bookmarkEnd w:id="86"/>
    <w:bookmarkStart w:id="87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демонстрирует плавное и устойчивое уменьшение численностей обеих сторон.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 нелинейной системе наблюдается быстрое подавление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после чего динамика определяется в основном функцией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Значения параметров существенно влияют на скорость уменьшения численностей армий.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 нелинейной модели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менее заметным.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Линейная система вычисляется быстрее, однако и для нелинейной модели время расчёта остаётся очень малым.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соответствует усилению затухания системы.</w:t>
      </w:r>
    </w:p>
    <w:p>
      <w:pPr>
        <w:pStyle w:val="FirstParagraph"/>
      </w:pPr>
      <w:r>
        <w:t xml:space="preserve">Результаты моделирования согласуются с теоретическими свойствами линейных и нелинейных дифференциальных систем и подтверждают корректность проведённых вычислений.</w:t>
      </w:r>
    </w:p>
    <w:bookmarkEnd w:id="87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89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0">
        <w:r>
          <w:rPr>
            <w:rStyle w:val="Hyperlink"/>
          </w:rPr>
          <w:t xml:space="preserve">Элементарные модели боя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intuit.ru/studies/educational_groups/594/courses/499/lecture/11353?page=7" TargetMode="External" /><Relationship Type="http://schemas.openxmlformats.org/officeDocument/2006/relationships/hyperlink" Id="rId88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9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2026-03-15T09:32:04Z</dcterms:created>
  <dcterms:modified xsi:type="dcterms:W3CDTF">2026-03-15T09:32:04Z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