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58D2" w14:textId="60AF6EB1" w:rsidR="00E70510" w:rsidRPr="00E70510" w:rsidRDefault="00E70510" w:rsidP="006805AA">
      <w:pPr>
        <w:jc w:val="both"/>
        <w:rPr>
          <w:b/>
          <w:bCs/>
        </w:rPr>
      </w:pPr>
      <w:r w:rsidRPr="00E70510">
        <w:rPr>
          <w:b/>
          <w:bCs/>
        </w:rPr>
        <w:t xml:space="preserve">Objective: </w:t>
      </w:r>
    </w:p>
    <w:p w14:paraId="2301A8D9" w14:textId="2DE127A4" w:rsidR="00F66D4E" w:rsidRPr="00F66D4E" w:rsidRDefault="00F66D4E" w:rsidP="006805AA">
      <w:pPr>
        <w:jc w:val="both"/>
      </w:pPr>
      <w:r w:rsidRPr="00F66D4E">
        <w:t>#</w:t>
      </w:r>
      <w:r w:rsidR="00925517">
        <w:t xml:space="preserve"> </w:t>
      </w:r>
      <w:r w:rsidRPr="00F66D4E">
        <w:t xml:space="preserve">Transient Ischemic Attack (TIA) prediction using support vector machines (SVM), Collaboration with Dr. A. </w:t>
      </w:r>
      <w:proofErr w:type="spellStart"/>
      <w:r w:rsidRPr="00F66D4E">
        <w:t>Hande</w:t>
      </w:r>
      <w:proofErr w:type="spellEnd"/>
      <w:r w:rsidRPr="00F66D4E">
        <w:t>, Department of Neurological Surgery, Fortis Hospital, Navi Mumbai. https://www.drashokhande.com/about-us</w:t>
      </w:r>
    </w:p>
    <w:p w14:paraId="11B75ACC" w14:textId="77777777" w:rsidR="00F66D4E" w:rsidRPr="00F66D4E" w:rsidRDefault="00F66D4E" w:rsidP="006805AA">
      <w:pPr>
        <w:jc w:val="both"/>
      </w:pPr>
      <w:r w:rsidRPr="00F66D4E">
        <w:t># Variables examples weight, height, BMI, physical activity, diet, smoking, etc.</w:t>
      </w:r>
    </w:p>
    <w:p w14:paraId="42230AA8" w14:textId="77777777" w:rsidR="00F66D4E" w:rsidRDefault="00F66D4E" w:rsidP="006805AA">
      <w:pPr>
        <w:jc w:val="both"/>
      </w:pPr>
    </w:p>
    <w:p w14:paraId="54452A33" w14:textId="1122EEC8" w:rsidR="00E70510" w:rsidRPr="00E70510" w:rsidRDefault="00E70510" w:rsidP="006805AA">
      <w:pPr>
        <w:jc w:val="both"/>
        <w:rPr>
          <w:b/>
          <w:bCs/>
        </w:rPr>
      </w:pPr>
      <w:r w:rsidRPr="00E70510">
        <w:rPr>
          <w:b/>
          <w:bCs/>
        </w:rPr>
        <w:t>Method:</w:t>
      </w:r>
    </w:p>
    <w:p w14:paraId="24656CED" w14:textId="69DEFA6A" w:rsidR="002C0DD7" w:rsidRDefault="00E70510" w:rsidP="006805AA">
      <w:pPr>
        <w:jc w:val="both"/>
      </w:pPr>
      <w:r>
        <w:t xml:space="preserve">Read </w:t>
      </w:r>
      <w:r w:rsidRPr="00E70510">
        <w:t>dataset</w:t>
      </w:r>
      <w:r>
        <w:t xml:space="preserve"> with 4 variables TIA, </w:t>
      </w:r>
      <w:r w:rsidRPr="00F66D4E">
        <w:t xml:space="preserve">weight, height, </w:t>
      </w:r>
      <w:r>
        <w:t>basal metabolic index (</w:t>
      </w:r>
      <w:r w:rsidRPr="00F66D4E">
        <w:t>BMI</w:t>
      </w:r>
      <w:r>
        <w:t xml:space="preserve">), </w:t>
      </w:r>
      <w:r w:rsidRPr="00E70510">
        <w:t>Splitt</w:t>
      </w:r>
      <w:r>
        <w:t>ed</w:t>
      </w:r>
      <w:r w:rsidRPr="00E70510">
        <w:t xml:space="preserve"> the dataset into the </w:t>
      </w:r>
      <w:r>
        <w:t>t</w:t>
      </w:r>
      <w:r w:rsidRPr="00E70510">
        <w:t xml:space="preserve">raining set and </w:t>
      </w:r>
      <w:r>
        <w:t>t</w:t>
      </w:r>
      <w:r w:rsidRPr="00E70510">
        <w:t>est set</w:t>
      </w:r>
      <w:r>
        <w:t xml:space="preserve">s with </w:t>
      </w:r>
      <w:r w:rsidRPr="00E70510">
        <w:t>0.75</w:t>
      </w:r>
      <w:r>
        <w:t xml:space="preserve"> ratio, followed by f</w:t>
      </w:r>
      <w:r w:rsidRPr="00E70510">
        <w:t xml:space="preserve">eature </w:t>
      </w:r>
      <w:r>
        <w:t>s</w:t>
      </w:r>
      <w:r w:rsidRPr="00E70510">
        <w:t>caling</w:t>
      </w:r>
      <w:r>
        <w:t>, followed by f</w:t>
      </w:r>
      <w:r w:rsidRPr="00E70510">
        <w:t>itting support vector machine (SVM) to the Training set</w:t>
      </w:r>
      <w:r>
        <w:t xml:space="preserve">. A </w:t>
      </w:r>
      <w:r w:rsidRPr="00E70510">
        <w:t>Confusion Matrix</w:t>
      </w:r>
      <w:r>
        <w:t xml:space="preserve"> was generated to test the efficiency of SVM classification.</w:t>
      </w:r>
    </w:p>
    <w:p w14:paraId="28262531" w14:textId="77777777" w:rsidR="00E70510" w:rsidRDefault="00E70510" w:rsidP="006805AA">
      <w:pPr>
        <w:jc w:val="both"/>
      </w:pPr>
    </w:p>
    <w:p w14:paraId="3BE4E7C7" w14:textId="69743699" w:rsidR="00E70510" w:rsidRPr="00E70510" w:rsidRDefault="00E70510" w:rsidP="006805AA">
      <w:pPr>
        <w:jc w:val="both"/>
        <w:rPr>
          <w:b/>
          <w:bCs/>
        </w:rPr>
      </w:pPr>
      <w:r w:rsidRPr="00E70510">
        <w:rPr>
          <w:b/>
          <w:bCs/>
        </w:rPr>
        <w:t>Result:</w:t>
      </w:r>
    </w:p>
    <w:p w14:paraId="01B9E899" w14:textId="5F9395C1" w:rsidR="00E70510" w:rsidRDefault="00E70510" w:rsidP="006805AA">
      <w:pPr>
        <w:jc w:val="both"/>
      </w:pPr>
      <w:r>
        <w:t>R</w:t>
      </w:r>
      <w:r w:rsidRPr="00E70510">
        <w:t>esults</w:t>
      </w:r>
      <w:r>
        <w:t xml:space="preserve"> of the t</w:t>
      </w:r>
      <w:r w:rsidRPr="00E70510">
        <w:t xml:space="preserve">est data set </w:t>
      </w:r>
      <w:r>
        <w:t>and confusion matrix is as follows:</w:t>
      </w:r>
    </w:p>
    <w:p w14:paraId="1988C538" w14:textId="77777777" w:rsidR="00F36201" w:rsidRDefault="00F36201" w:rsidP="006805AA">
      <w:pPr>
        <w:jc w:val="both"/>
      </w:pPr>
    </w:p>
    <w:p w14:paraId="2C06EF92" w14:textId="4CF0AE2D" w:rsidR="00C44332" w:rsidRDefault="00C44332" w:rsidP="006805AA">
      <w:pPr>
        <w:jc w:val="both"/>
      </w:pPr>
      <w:r w:rsidRPr="00C44332">
        <w:rPr>
          <w:color w:val="00B050"/>
        </w:rPr>
        <w:t>Predicted correctly</w:t>
      </w:r>
      <w:r>
        <w:t xml:space="preserve">; </w:t>
      </w:r>
      <w:r w:rsidRPr="00C44332">
        <w:rPr>
          <w:color w:val="FF0000"/>
        </w:rPr>
        <w:t>Predicted incorrectly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4512D" w14:paraId="2A6D66C1" w14:textId="77777777" w:rsidTr="00F36201">
        <w:tc>
          <w:tcPr>
            <w:tcW w:w="2337" w:type="dxa"/>
          </w:tcPr>
          <w:p w14:paraId="7AF9A78A" w14:textId="77777777" w:rsidR="0084512D" w:rsidRDefault="0084512D" w:rsidP="006805AA">
            <w:pPr>
              <w:jc w:val="both"/>
            </w:pPr>
          </w:p>
        </w:tc>
        <w:tc>
          <w:tcPr>
            <w:tcW w:w="2337" w:type="dxa"/>
          </w:tcPr>
          <w:p w14:paraId="569D488D" w14:textId="73096351" w:rsidR="0084512D" w:rsidRPr="006805AA" w:rsidRDefault="0084512D" w:rsidP="006805AA">
            <w:pPr>
              <w:jc w:val="both"/>
              <w:rPr>
                <w:b/>
                <w:bCs/>
              </w:rPr>
            </w:pPr>
            <w:r w:rsidRPr="006805AA">
              <w:rPr>
                <w:b/>
                <w:bCs/>
              </w:rPr>
              <w:t>0</w:t>
            </w:r>
          </w:p>
        </w:tc>
        <w:tc>
          <w:tcPr>
            <w:tcW w:w="2338" w:type="dxa"/>
          </w:tcPr>
          <w:p w14:paraId="6AF526F5" w14:textId="78C3F4C2" w:rsidR="0084512D" w:rsidRPr="006805AA" w:rsidRDefault="0084512D" w:rsidP="006805AA">
            <w:pPr>
              <w:jc w:val="both"/>
              <w:rPr>
                <w:b/>
                <w:bCs/>
              </w:rPr>
            </w:pPr>
            <w:r w:rsidRPr="006805AA">
              <w:rPr>
                <w:b/>
                <w:bCs/>
              </w:rPr>
              <w:t>1</w:t>
            </w:r>
          </w:p>
        </w:tc>
      </w:tr>
      <w:tr w:rsidR="0084512D" w14:paraId="1D0D1DB9" w14:textId="77777777" w:rsidTr="00F36201">
        <w:tc>
          <w:tcPr>
            <w:tcW w:w="2337" w:type="dxa"/>
          </w:tcPr>
          <w:p w14:paraId="420BB575" w14:textId="4A341EAD" w:rsidR="0084512D" w:rsidRPr="006805AA" w:rsidRDefault="0084512D" w:rsidP="006805AA">
            <w:pPr>
              <w:jc w:val="both"/>
              <w:rPr>
                <w:b/>
                <w:bCs/>
              </w:rPr>
            </w:pPr>
            <w:r w:rsidRPr="006805AA">
              <w:rPr>
                <w:b/>
                <w:bCs/>
              </w:rPr>
              <w:t>0</w:t>
            </w:r>
          </w:p>
        </w:tc>
        <w:tc>
          <w:tcPr>
            <w:tcW w:w="2337" w:type="dxa"/>
          </w:tcPr>
          <w:p w14:paraId="563D1DF2" w14:textId="1D11DD96" w:rsidR="0084512D" w:rsidRDefault="0084512D" w:rsidP="006805AA">
            <w:pPr>
              <w:jc w:val="both"/>
            </w:pPr>
            <w:r w:rsidRPr="00C44332">
              <w:rPr>
                <w:color w:val="00B050"/>
              </w:rPr>
              <w:t>151</w:t>
            </w:r>
          </w:p>
        </w:tc>
        <w:tc>
          <w:tcPr>
            <w:tcW w:w="2338" w:type="dxa"/>
          </w:tcPr>
          <w:p w14:paraId="01B2C1F5" w14:textId="516E9144" w:rsidR="0084512D" w:rsidRDefault="0084512D" w:rsidP="006805AA">
            <w:pPr>
              <w:jc w:val="both"/>
            </w:pPr>
            <w:r>
              <w:t>0</w:t>
            </w:r>
          </w:p>
        </w:tc>
      </w:tr>
      <w:tr w:rsidR="0084512D" w14:paraId="4AA9E39B" w14:textId="77777777" w:rsidTr="00F36201">
        <w:tc>
          <w:tcPr>
            <w:tcW w:w="2337" w:type="dxa"/>
          </w:tcPr>
          <w:p w14:paraId="1B3A15FB" w14:textId="19C7CC60" w:rsidR="0084512D" w:rsidRPr="006805AA" w:rsidRDefault="0084512D" w:rsidP="006805AA">
            <w:pPr>
              <w:jc w:val="both"/>
              <w:rPr>
                <w:b/>
                <w:bCs/>
              </w:rPr>
            </w:pPr>
            <w:r w:rsidRPr="006805AA">
              <w:rPr>
                <w:b/>
                <w:bCs/>
              </w:rPr>
              <w:t>1</w:t>
            </w:r>
          </w:p>
        </w:tc>
        <w:tc>
          <w:tcPr>
            <w:tcW w:w="2337" w:type="dxa"/>
          </w:tcPr>
          <w:p w14:paraId="1E69F482" w14:textId="6E51459D" w:rsidR="0084512D" w:rsidRDefault="0084512D" w:rsidP="006805AA">
            <w:pPr>
              <w:jc w:val="both"/>
            </w:pPr>
            <w:r>
              <w:t>41</w:t>
            </w:r>
          </w:p>
        </w:tc>
        <w:tc>
          <w:tcPr>
            <w:tcW w:w="2338" w:type="dxa"/>
          </w:tcPr>
          <w:p w14:paraId="61D5ED26" w14:textId="3EE881AF" w:rsidR="0084512D" w:rsidRDefault="0084512D" w:rsidP="006805AA">
            <w:pPr>
              <w:jc w:val="both"/>
            </w:pPr>
            <w:r w:rsidRPr="00C44332">
              <w:rPr>
                <w:color w:val="FF0000"/>
              </w:rPr>
              <w:t>0</w:t>
            </w:r>
          </w:p>
        </w:tc>
      </w:tr>
    </w:tbl>
    <w:p w14:paraId="62A319CD" w14:textId="1C308F85" w:rsidR="00E70510" w:rsidRDefault="00E70510" w:rsidP="006805AA">
      <w:pPr>
        <w:jc w:val="both"/>
      </w:pPr>
      <w:r>
        <w:rPr>
          <w:noProof/>
        </w:rPr>
        <w:drawing>
          <wp:inline distT="0" distB="0" distL="0" distR="0" wp14:anchorId="0DFE9F23" wp14:editId="1AE7D477">
            <wp:extent cx="2311400" cy="2192126"/>
            <wp:effectExtent l="0" t="0" r="0" b="0"/>
            <wp:docPr id="118834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6477" name="Picture 11883464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0080" cy="22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8F78" w14:textId="677DC8F7" w:rsidR="00E70510" w:rsidRPr="00E70510" w:rsidRDefault="00E70510" w:rsidP="006805AA">
      <w:pPr>
        <w:jc w:val="both"/>
        <w:rPr>
          <w:b/>
          <w:bCs/>
        </w:rPr>
      </w:pPr>
      <w:r w:rsidRPr="00E70510">
        <w:rPr>
          <w:b/>
          <w:bCs/>
        </w:rPr>
        <w:t>Conclusion:</w:t>
      </w:r>
    </w:p>
    <w:p w14:paraId="3659750D" w14:textId="5987405F" w:rsidR="00E70510" w:rsidRDefault="00E70510" w:rsidP="006805AA">
      <w:pPr>
        <w:jc w:val="both"/>
      </w:pPr>
      <w:r>
        <w:t>SVM predicts 0’s or non-stroke patients with 100% accuracy</w:t>
      </w:r>
      <w:r w:rsidR="0084512D">
        <w:t xml:space="preserve"> (151)</w:t>
      </w:r>
      <w:r>
        <w:t>, however, none of the 1’s or TIA are predicted accurately</w:t>
      </w:r>
      <w:r w:rsidR="0084512D">
        <w:t xml:space="preserve"> (41)</w:t>
      </w:r>
      <w:r>
        <w:t>.</w:t>
      </w:r>
    </w:p>
    <w:p w14:paraId="06A6BADE" w14:textId="77777777" w:rsidR="00E70510" w:rsidRDefault="00E70510" w:rsidP="006805AA">
      <w:pPr>
        <w:jc w:val="both"/>
      </w:pPr>
    </w:p>
    <w:p w14:paraId="468CA976" w14:textId="1D4DED56" w:rsidR="00C44332" w:rsidRPr="0084512D" w:rsidRDefault="0084512D" w:rsidP="006805AA">
      <w:pPr>
        <w:jc w:val="both"/>
        <w:rPr>
          <w:b/>
          <w:bCs/>
        </w:rPr>
      </w:pPr>
      <w:r w:rsidRPr="0084512D">
        <w:rPr>
          <w:b/>
          <w:bCs/>
        </w:rPr>
        <w:t>Future Scope:</w:t>
      </w:r>
    </w:p>
    <w:p w14:paraId="06EF9F08" w14:textId="0CCBE3F5" w:rsidR="0084512D" w:rsidRDefault="000D0E98" w:rsidP="006805AA">
      <w:pPr>
        <w:jc w:val="both"/>
      </w:pPr>
      <w:r>
        <w:t xml:space="preserve">Additional variables with numeric dataset is required improving </w:t>
      </w:r>
      <w:r>
        <w:t>TIA predict</w:t>
      </w:r>
      <w:r>
        <w:t>ion</w:t>
      </w:r>
      <w:r>
        <w:t xml:space="preserve"> </w:t>
      </w:r>
      <w:r>
        <w:t>accuracy.</w:t>
      </w:r>
    </w:p>
    <w:sectPr w:rsidR="0084512D" w:rsidSect="00F66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4E"/>
    <w:rsid w:val="000D0E98"/>
    <w:rsid w:val="002C0DD7"/>
    <w:rsid w:val="006805AA"/>
    <w:rsid w:val="0084512D"/>
    <w:rsid w:val="008822F5"/>
    <w:rsid w:val="00925517"/>
    <w:rsid w:val="009F410D"/>
    <w:rsid w:val="00C44332"/>
    <w:rsid w:val="00E70510"/>
    <w:rsid w:val="00F36201"/>
    <w:rsid w:val="00F6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CFC10"/>
  <w15:chartTrackingRefBased/>
  <w15:docId w15:val="{89B023ED-15BF-8941-9176-540D65EE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6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Shrikant</dc:creator>
  <cp:keywords/>
  <dc:description/>
  <cp:lastModifiedBy>Pawar, Shrikant</cp:lastModifiedBy>
  <cp:revision>9</cp:revision>
  <dcterms:created xsi:type="dcterms:W3CDTF">2024-09-18T12:41:00Z</dcterms:created>
  <dcterms:modified xsi:type="dcterms:W3CDTF">2024-09-19T15:18:00Z</dcterms:modified>
</cp:coreProperties>
</file>