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МЕТОДИЧКА</w:t>
        <w:br/>
        <w:t>Вещевая служба Вооружённых Сил Российской Федерации</w:t>
        <w:br/>
        <w:t>Склад · маскировка · учёт (форма № 10 и другие документы)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Учебное пособие по открытым источникам · 2026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Настоящая методичка предназначена для должностных лиц вещевой службы, начальников складов, старшин подразделений и командиров, отвечающих за организацию хранения, учёта и выдачи вещевого имущества. Материал носит справочно-учебный характер и не заменяет официальные нормативные правовые акты и локальные документы воинской части.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1. Правовая база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ФЗ от 27.05.1998 № 76-ФЗ «О статусе военнослужащих» (ст. 14) — право на вещевое обеспечение и компенсации.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ПП РФ от 22.06.2006 № 390 — нормы обеспечения в мирное время (с изменениями, в т. ч. ПП № 1116).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 МО РФ от 14.08.2017 № 500 — Порядок обеспечения вещевым имуществом (ВКПО, сроки, спецнормы).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 МО РФ от 28.03.2008 № 139 — формы документов ФХД (в т. ч. форма № 10, книга 0504042).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 МО РФ от 04.04.2017 № 170 (ИД-2017) — делопроизводство; отдельная «Справка (форма № 10)» для контрактников — не путать с актом ф. 10 по № 139.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Приказы МО РФ № 300дсп и № 222дсп — учёт и списание (ДСП; детали не раскрываются).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ФЗ от 12.07.1999 № 161-ФЗ — материальная ответственность; УВС ВС РФ — сохранность имущества.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2. Организация вещевой службы в части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Командир части отвечает за содержание складского фонда и охрану. Заместитель по тылу организует хранение и оборудование складов, проверяет наличие не реже двух раз в год. Начальник вещевой службы организует правильное хранение, руководит складом, проверяет наличие и условия хранения не реже одного раза в два месяца. Начальник вещевого склада — материально ответственное лицо: приём, выдача, хранение, учёт, санитарное и противопожарное состояние, сдача склада под охрану.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3. Виды имущества и категории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Личное пользование — закрепляется за военнослужащим (форма, бельё, обувь повседневная).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Инвентарное — временное пользование, подлежит сдаче (большая часть ВКПО, постель, палатки).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Специальное — по специальным нормам снабжения.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Категории: I — новое; II — бывшее в употреблении, годное; III — к списанию/ремонту/выбраковке.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4. Организация вещевого (боевого) склада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Склад оборудуется сухими помещениями с раздельными кладовыми: новое имущество; бывшее в употреблении и фонд сборов; грязное бельё; моющие и ремонтные материалы; спорт/лыжи; ветошь и выбраковка; распаковочная. Имущество текущего снабжения хранится раздельно от имущества длительного хранения (НЗ).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Отступ стеллажа от стены ≥ 0,75 м; от кровли ≥ 1 м; нижняя полка ≥ 0,2–0,3 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Проход между стеллажами ≥ 1 м; центральный проход ≥ 3,5 м; до светильника ≥ 0,5 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Двери двойные, опечатывание; окна — решётки и защита от прямого солнца.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Электропроводка скрытая/в негорючих трубах; розетки и электронагреватели запрещены.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На полках — стеллажные ярлыки формы № 64; план склада со схемой расстановки.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khema_skl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Учебная схема вещевого склада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5. Маскировка и полевое хранение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полевых (боевых) условиях площадку выбирают с естественной маскировкой. Бунты и транспорт рассредоточивают, применяют маскировочные сети и местные материалы, устраивают обвалование. Ночные работы — со светомаскировкой. Укрытия: котлован, накат, слой грунта. Текущее имущество и запасы длительного хранения размещают раздельно.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skirovka_skl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2. Принципы маскировки полевого склада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6. Система учёта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Учётные документы делятся на: (1) первичные — накладные, ведомости, акты, аттестаты; (2) книги и карточки — ф. 25, 26, 27, 37, 45, 0504042; (3) вспомогательные — ярлыки, описи. Книги нумеруются, прошнуровываются, скрепляются печатью «Для пакетов», регистрируются в строевой части. Записи о приходе и расходе — в день операции.</w:t>
      </w:r>
    </w:p>
    <w:p>
      <w:r>
        <w:drawing>
          <wp:inline xmlns:a="http://schemas.openxmlformats.org/drawingml/2006/main" xmlns:pic="http://schemas.openxmlformats.org/drawingml/2006/picture">
            <wp:extent cx="5669280" cy="445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arta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3. Карта основных учётных форм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7. Форма № 10 — акт закладки (обновления)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приказу МО РФ № 139 форма № 10 (ОКУД 6002206) — акт закладки (обновления) материальных ценностей на длительное хранение. Комиссия, назначенная приказом, проверяет закладку и обновление; в акте отражают наименование, код, единицу измерения, количество/сумму заложено и изъято. Акт утверждает командир. Не путать со «Справкой (форма № 10)» приложения к ИД-2017 (справка контрактнику при убытии).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rma_10_ma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4. Учебный макет оформления формы № 10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8. Книги ф. 26, 37, 45 и связанные формы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25 — регистрация первичных учётных документов (нумерация с начала года по видам).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26 — наличие и движение в подразделении; лицевые счета; ежедневные записи; сверки.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27 — учёт в вещевой службе за подразделение; сверка со старшиной.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37 — выдача во временное пользование на срок не более одного месяца.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45 — карточка учёта материальных ценностей личного пользования.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21 — вещевой аттестат (бланк строгой отчётности).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11 — акт снятия остатков при отсутствии аттестата или расхождении наличия.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ф. 64 — стеллажный ярлык.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0504042 — книга учёта материальных ценностей на складе (приказ № 139).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rma_26_veden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5. Порядок ведения книги ф. 26</w:t>
      </w:r>
    </w:p>
    <w:p>
      <w:r>
        <w:drawing>
          <wp:inline xmlns:a="http://schemas.openxmlformats.org/drawingml/2006/main" xmlns:pic="http://schemas.openxmlformats.org/drawingml/2006/picture">
            <wp:extent cx="5669280" cy="33205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kumentoobor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6. Документооборот при прибытии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9. Выдача, замена, компенсации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Отпуск со складов ЦМТО — по нарядам по ростовке. В части выдача отражается в карточке вещевого довольствия / ф. 45; инвентарное имущество при убытии сдаётся на склад (кроме указанного в аттестате). Компенсация за невыданные предметы — по 76-ФЗ и ПП № 390; стоимость ориентируется на распоряжение Правительства № 1014-р. Банно-прачечное обслуживание — часть вещевого обеспечения.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10. Инвентаризация и ответственность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Инвентаризация проводится по приказу командира комиссией. Недостачи учитываются, назначается административное расследование. При доказанной вине — материальная ответственность по 161-ФЗ и (или) дисциплинарная по УВС. Изъятие первичных документов — только уполномоченными органами с оформлением протокола.</w:t>
      </w:r>
    </w:p>
    <w:p>
      <w:r>
        <w:drawing>
          <wp:inline xmlns:a="http://schemas.openxmlformats.org/drawingml/2006/main" xmlns:pic="http://schemas.openxmlformats.org/drawingml/2006/picture">
            <wp:extent cx="5669280" cy="7559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k_list_veschevay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7. Чек-лист вещевой службы / склада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11. Режим вещевого склада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Паспорт склада: площадь, кубатура, вместимость, нагрузка на пол, режим работы.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План хранилища со схемой стеллажей и кладовых.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Журнал температуры и влажности; мокрое имущество не принимать.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Картотека на столе запирается; ключ у начальника склада.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Охрана, слепки, наружный рубильник, огнетушители, грозозащита.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zhim_skl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8. Режим вещевого склада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12. Арматурная карточка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Арматурная карточка связывает ростовку, норму и фактическую выдачу. Вносятся установочные данные, замеры, сведения из аттестата ф. 21; по мере выдачи — предмет, дата, срок носки. Карточки группируют по подразделениям.</w:t>
      </w:r>
    </w:p>
    <w:p>
      <w:r>
        <w:drawing>
          <wp:inline xmlns:a="http://schemas.openxmlformats.org/drawingml/2006/main" xmlns:pic="http://schemas.openxmlformats.org/drawingml/2006/picture">
            <wp:extent cx="5669280" cy="7086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maturnaya_kartoch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9. Учебный макет арматурной карточки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13. Клеймение, подгонка, подменный фонд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 выдаче призывникам — подгонка и клеймение инвентаря.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Запас на сборных пунктах ≈ 10% потребности призыва.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Подменный фонд — из выслужившего срок, но годного имущества (в т. ч. после ремонта).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Рабочая одежда — не более 100% списочной численности призывников/курсантов.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Не смешивать подменный фонд с НЗ и III категорией.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14. Сроки носки (подробно)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Срок зависит от нормы, категории военнослужащего и климата. Срок нового одноимённого предмета начинается со следующего дня после окончания срока предыдущего. В холодном климате срок костюма утеплённого уменьшается на 1 год, в жарком — увеличивается на 1 год (ориентир п. 62.1). Расходники на категории не делятся.</w:t>
      </w:r>
    </w:p>
    <w:p>
      <w:r>
        <w:drawing>
          <wp:inline xmlns:a="http://schemas.openxmlformats.org/drawingml/2006/main" xmlns:pic="http://schemas.openxmlformats.org/drawingml/2006/picture">
            <wp:extent cx="5669280" cy="4454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roki_nosk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10. Ориентиры сроков носки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15. Списание (III категория и расходники)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III категория подлежит списанию: отделить от годного → комиссия по приказу → акт → проводки в книгах → ремонт/ветошь/утилизация по правилам. Расходники списываются прямым расходом. Подменный фонд из непригодного не формировать. Детали ДСП-порядка списания в методичке не воспроизводятся.</w:t>
      </w:r>
    </w:p>
    <w:p>
      <w:r>
        <w:drawing>
          <wp:inline xmlns:a="http://schemas.openxmlformats.org/drawingml/2006/main" xmlns:pic="http://schemas.openxmlformats.org/drawingml/2006/picture">
            <wp:extent cx="5669280" cy="39684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isan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11. Учебная схема списания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16. Приём-сдача дел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 о приёме-сдаче; при необходимости — комиссия.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Сверка книг с наличием и ярлыками ф. 64.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НЗ и актов ф. 10, журнала Т/φ, ПБ и охраны.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Акт приёма-сдачи; передача ключей и слепков; разбор недостач отдельно.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17. Шпаргалка документов</w:t>
      </w:r>
    </w:p>
    <w:p>
      <w:r>
        <w:drawing>
          <wp:inline xmlns:a="http://schemas.openxmlformats.org/drawingml/2006/main" xmlns:pic="http://schemas.openxmlformats.org/drawingml/2006/picture">
            <wp:extent cx="5669280" cy="44544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akoy_doku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12. Какой документ — на какую операцию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18. Источники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ФЗ № 76-ФЗ; ПП РФ № 390; Распоряжение Правительства РФ № 1014-р.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Приказы МО РФ № 500, № 139, № 170 (ИД-2017), № 367.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ГОСТ 23167-91, ГОСТ 20881-91.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Инструкция по хранению вещевого имущества (открытые переизложения / учебные материалы).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Открытые методические материалы по учёту имущества в подразделении (ф. 26, 37, 45).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Дисклеймер: для юридически значимых решений используйте полные тексты НПА в актуальной редакции и документы своей воинской части. Документы с пометой ДСП в настоящей методичке не воспроизводятся.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