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МЕТОДИЧКА</w:t>
        <w:br/>
        <w:t>Вещевая служба Вооружённых Сил Российской Федерации</w:t>
        <w:br/>
        <w:t>Склад · маскировка · учёт (форма № 10 и другие документы)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Учебное пособие по открытым источникам · 2026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Настоящая методичка предназначена для должностных лиц вещевой службы, начальников складов, старшин подразделений и командиров, отвечающих за организацию хранения, учёта и выдачи вещевого имущества. Материал носит справочно-учебный характер и не заменяет официальные нормативные правовые акты и локальные документы воинской части.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1. Правовая база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ФЗ от 27.05.1998 № 76-ФЗ «О статусе военнослужащих» (ст. 14) — право на вещевое обеспечение и компенсации.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ПП РФ от 22.06.2006 № 390 — нормы обеспечения в мирное время (с изменениями, в т. ч. ПП № 1116).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МО РФ от 14.08.2017 № 500 — Порядок обеспечения вещевым имуществом (ВКПО, сроки, спецнормы).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МО РФ от 28.03.2008 № 139 — формы документов ФХД (в т. ч. форма № 10, книга 0504042).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МО РФ от 04.04.2017 № 170 (ИД-2017) — делопроизводство; отдельная «Справка (форма № 10)» для контрактников — не путать с актом ф. 10 по № 139.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Приказы МО РФ № 300дсп и № 222дсп — учёт и списание (ДСП; детали не раскрываются).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ФЗ от 12.07.1999 № 161-ФЗ — материальная ответственность; УВС ВС РФ — сохранность имущества.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2. Организация вещевой службы в части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Командир части отвечает за содержание складского фонда и охрану. Заместитель по тылу организует хранение и оборудование складов, проверяет наличие не реже двух раз в год. Начальник вещевой службы организует правильное хранение, руководит складом, проверяет наличие и условия хранения не реже одного раза в два месяца. Начальник вещевого склада — материально ответственное лицо: приём, выдача, хранение, учёт, санитарное и противопожарное состояние, сдача склада под охрану.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3. Виды имущества и категории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Личное пользование — закрепляется за военнослужащим (форма, бельё, обувь повседневная).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Инвентарное — временное пользование, подлежит сдаче (большая часть ВКПО, постель, палатки).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Специальное — по специальным нормам снабжения.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Категории: I — новое; II — бывшее в употреблении, годное; III — к списанию/ремонту/выбраковке.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4. Организация вещевого (боевого) склада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Склад оборудуется сухими помещениями с раздельными кладовыми: новое имущество; бывшее в употреблении и фонд сборов; грязное бельё; моющие и ремонтные материалы; спорт/лыжи; ветошь и выбраковка; распаковочная. Имущество текущего снабжения хранится раздельно от имущества длительного хранения (НЗ).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Отступ стеллажа от стены ≥ 0,75 м; от кровли ≥ 1 м; нижняя полка ≥ 0,2–0,3 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Проход между стеллажами ≥ 1 м; центральный проход ≥ 3,5 м; до светильника ≥ 0,5 м.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Двери двойные, опечатывание; окна — решётки и защита от прямого солнца.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Электропроводка скрытая/в негорючих трубах; розетки и электронагреватели запрещены.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На полках — стеллажные ярлыки формы № 64; план склада со схемой расстановки.</w:t>
      </w:r>
    </w:p>
    <w:p>
      <w:r>
        <w:drawing>
          <wp:inline xmlns:a="http://schemas.openxmlformats.org/drawingml/2006/main" xmlns:pic="http://schemas.openxmlformats.org/drawingml/2006/picture">
            <wp:extent cx="5669280" cy="4049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khema_skl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1. Учебная схема вещевого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5. Маскировка и полевое хранение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В полевых (боевых) условиях площадку выбирают с естественной маскировкой. Бунты и транспорт рассредоточивают, применяют маскировочные сети и местные материалы, устраивают обвалование. Ночные работы — со светомаскировкой. Укрытия: котлован, накат, слой грунта. Текущее имущество и запасы длительного хранения размещают раздельно.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skirovka_skla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2. Принципы маскировки полевого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6. Система учёта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Учётные документы делятся на: (1) первичные — накладные, ведомости, акты, аттестаты; (2) книги и карточки — ф. 25, 26, 27, 37, 45, 0504042; (3) вспомогательные — ярлыки, описи. Книги нумеруются, прошнуровываются, скрепляются печатью «Для пакетов», регистрируются в строевой части. Записи о приходе и расходе — в день операции.</w:t>
      </w:r>
    </w:p>
    <w:p>
      <w:r>
        <w:drawing>
          <wp:inline xmlns:a="http://schemas.openxmlformats.org/drawingml/2006/main" xmlns:pic="http://schemas.openxmlformats.org/drawingml/2006/picture">
            <wp:extent cx="5669280" cy="4454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karta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3. Карта основных учётных форм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7. Форма № 10 — акт закладки (обновления)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По приказу МО РФ № 139 форма № 10 (ОКУД 6002206) — акт закладки (обновления) материальных ценностей на длительное хранение. Комиссия, назначенная приказом, проверяет закладку и обновление; в акте отражают наименование, код, единицу измерения, количество/сумму заложено и изъято. Акт утверждает командир. Не путать со «Справкой (форма № 10)» приложения к ИД-2017 (справка контрактнику при убытии).</w:t>
      </w:r>
    </w:p>
    <w:p>
      <w:r>
        <w:drawing>
          <wp:inline xmlns:a="http://schemas.openxmlformats.org/drawingml/2006/main" xmlns:pic="http://schemas.openxmlformats.org/drawingml/2006/picture">
            <wp:extent cx="5669280" cy="7086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orma_10_mak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8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4. Учебный макет оформления формы № 10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8. Книги ф. 26, 37, 45 и связанные формы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25 — регистрация первичных учётных документов (нумерация с начала года по видам).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26 — наличие и движение в подразделении; лицевые счета; ежедневные записи; сверки.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27 — учёт в вещевой службе за подразделение; сверка со старшиной.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37 — выдача во временное пользование на срок не более одного месяца.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45 — карточка учёта материальных ценностей личного пользования.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21 — вещевой аттестат (бланк строгой отчётности).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11 — акт снятия остатков при отсутствии аттестата или расхождении наличия.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ф. 64 — стеллажный ярлык.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0504042 — книга учёта материальных ценностей на складе (приказ № 139).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orma_26_vedeni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5. Порядок ведения книги ф. 26</w:t>
      </w:r>
    </w:p>
    <w:p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okumentoobor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6. Документооборот при прибытии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9. Выдача, замена, компенсации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Отпуск со складов ЦМТО — по нарядам по ростовке. В части выдача отражается в карточке вещевого довольствия / ф. 45; инвентарное имущество при убытии сдаётся на склад (кроме указанного в аттестате). Компенсация за невыданные предметы — по 76-ФЗ и ПП № 390; стоимость ориентируется на распоряжение Правительства № 1014-р. Банно-прачечное обслуживание — часть вещевого обеспечения.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10. Инвентаризация и ответственность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Инвентаризация проводится по приказу командира комиссией. Недостачи учитываются, назначается административное расследование. При доказанной вине — материальная ответственность по 161-ФЗ и (или) дисциплинарная по УВС. Изъятие первичных документов — только уполномоченными органами с оформлением протокола.</w:t>
      </w:r>
    </w:p>
    <w:p>
      <w:r>
        <w:drawing>
          <wp:inline xmlns:a="http://schemas.openxmlformats.org/drawingml/2006/main" xmlns:pic="http://schemas.openxmlformats.org/drawingml/2006/picture">
            <wp:extent cx="5669280" cy="7559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k_list_veschevay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55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7. Чек-лист вещевой службы /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11. Режим вещевого склада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Паспорт склада: площадь, кубатура, вместимость, нагрузка на пол, режим работы.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План хранилища со схемой стеллажей и кладовых.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Журнал температуры и влажности; мокрое имущество не принимать.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Картотека на столе запирается; ключ у начальника склада.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Охрана, слепки, наружный рубильник, огнетушители, грозозащита.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zhim_skl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8. Режим вещевого склада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12. Арматурная карточка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Арматурная карточка связывает ростовку, норму и фактическую выдачу. Вносятся установочные данные, замеры, сведения из аттестата ф. 21; по мере выдачи — предмет, дата, срок носки. Карточки группируют по подразделениям.</w:t>
      </w:r>
    </w:p>
    <w:p>
      <w:r>
        <w:drawing>
          <wp:inline xmlns:a="http://schemas.openxmlformats.org/drawingml/2006/main" xmlns:pic="http://schemas.openxmlformats.org/drawingml/2006/picture">
            <wp:extent cx="5669280" cy="7086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maturnaya_kartochk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8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9. Учебный макет арматурной карточки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13. Клеймение, подгонка, подменный фонд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 выдаче призывникам — подгонка и клеймение инвентаря.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Запас на сборных пунктах ≈ 10% потребности призыва.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Подменный фонд — из выслужившего срок, но годного имущества (в т. ч. после ремонта).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Рабочая одежда — не более 100% списочной численности призывников/курсантов.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Не смешивать подменный фонд с НЗ и III категорией.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14. Сроки носки (подробно)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Срок зависит от нормы, категории военнослужащего и климата. Срок нового одноимённого предмета начинается со следующего дня после окончания срока предыдущего. В холодном климате срок костюма утеплённого уменьшается на 1 год, в жарком — увеличивается на 1 год (ориентир п. 62.1). Расходники на категории не делятся.</w:t>
      </w:r>
    </w:p>
    <w:p>
      <w:r>
        <w:drawing>
          <wp:inline xmlns:a="http://schemas.openxmlformats.org/drawingml/2006/main" xmlns:pic="http://schemas.openxmlformats.org/drawingml/2006/picture">
            <wp:extent cx="5669280" cy="44544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roki_nosk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10. Ориентиры сроков носки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15. Списание (III категория и расходники)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III категория подлежит списанию: отделить от годного → комиссия по приказу → акт → проводки в книгах → ремонт/ветошь/утилизация по правилам. Расходники списываются прямым расходом. Подменный фонд из непригодного не формировать. Детали ДСП-порядка списания в методичке не воспроизводятся.</w:t>
      </w:r>
    </w:p>
    <w:p>
      <w:r>
        <w:drawing>
          <wp:inline xmlns:a="http://schemas.openxmlformats.org/drawingml/2006/main" xmlns:pic="http://schemas.openxmlformats.org/drawingml/2006/picture">
            <wp:extent cx="5669280" cy="39684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pisani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11. Учебная схема списания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16. Приём-сдача дел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о приёме-сдаче; при необходимости — комиссия.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Сверка книг с наличием и ярлыками ф. 64.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Проверка НЗ и актов ф. 10, журнала Т/φ, ПБ и охраны.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Акт приёма-сдачи; передача ключей и слепков; разбор недостач отдельно.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17. Шпаргалка документов</w:t>
      </w:r>
    </w:p>
    <w:p>
      <w:r>
        <w:drawing>
          <wp:inline xmlns:a="http://schemas.openxmlformats.org/drawingml/2006/main" xmlns:pic="http://schemas.openxmlformats.org/drawingml/2006/picture">
            <wp:extent cx="5669280" cy="44544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kakoy_doku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12. Какой документ — на какую операцию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18. Отчёт-заявка и истребование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Отчёт-заявку утверждает командир части; на её основе довольствующий орган формирует план обеспечения и наряды на отпуск с ЦМТО по ростовке. В обеспеченность входят новое имущество, бывшее в употреблении с неистекшим в периоде сроком и годный инвентарь после срока.</w:t>
      </w:r>
    </w:p>
    <w:p>
      <w:r>
        <w:drawing>
          <wp:inline xmlns:a="http://schemas.openxmlformats.org/drawingml/2006/main" xmlns:pic="http://schemas.openxmlformats.org/drawingml/2006/picture">
            <wp:extent cx="5669280" cy="33205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otchet_zayav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13. Цикл отчёта-заявки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19. Сезонная сдача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По окончании зимы тёплые вещи и постовая одежда сдаются на склад: обновление клеймения, сортировка, ремонт/химчистка, хранение до сезона. Палатки просушивают и сдают с отметкой сроков в паспортах.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ezon_sdach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14. Сезонный цикл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20. Ремонт, ателье, комнаты БО, техсредства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Ателье: ордер на пошив по карточке личного пользования.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Мастерская: наряд на ремонт в 2 экз., книга учёта ремонта.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Комнаты БО: контроль укомплектования ремонтными материалами.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Техсредства: учёт, ТО, запчасти по нормам № 42–43.</w:t>
      </w:r>
    </w:p>
    <w:p>
      <w:r>
        <w:drawing>
          <wp:inline xmlns:a="http://schemas.openxmlformats.org/drawingml/2006/main" xmlns:pic="http://schemas.openxmlformats.org/drawingml/2006/picture">
            <wp:extent cx="5669280" cy="36445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emont_ate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15. Ремонт и ателье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21. Запасы, спецнормы, охрана МО, изменения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Прил. № 2–3 к № 500 — переходящие/страховые запасы и нормы содержания.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Прил. № 4 — спецнормы № 1–45 (указатель); женская ростовка — отдельно.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Прил. № 5 — ведомственная охрана МО.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 № 367/2024 и ПП № 1116/2025 — сверять перед выдачей.</w:t>
      </w:r>
    </w:p>
    <w:p>
      <w:r>
        <w:drawing>
          <wp:inline xmlns:a="http://schemas.openxmlformats.org/drawingml/2006/main" xmlns:pic="http://schemas.openxmlformats.org/drawingml/2006/picture">
            <wp:extent cx="5669280" cy="48593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specnorm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16. Указатель спецнорм</w:t>
      </w:r>
    </w:p>
    <w:p>
      <w:r>
        <w:drawing>
          <wp:inline xmlns:a="http://schemas.openxmlformats.org/drawingml/2006/main" xmlns:pic="http://schemas.openxmlformats.org/drawingml/2006/picture">
            <wp:extent cx="5669280" cy="40494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obrazcy_zapise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17. Образцы записей в книгах</w:t>
      </w:r>
    </w:p>
    <w:p>
      <w:r>
        <w:drawing>
          <wp:inline xmlns:a="http://schemas.openxmlformats.org/drawingml/2006/main" xmlns:pic="http://schemas.openxmlformats.org/drawingml/2006/picture">
            <wp:extent cx="5669280" cy="32395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izmeneniya_2024_20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Рисунок 18. Изменения 2024–2025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32"/>
        </w:rPr>
        <w:t>22. Источники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ФЗ № 76-ФЗ; ПП РФ № 390 (изм. ПП № 1116); Распоряжение № 1014-р.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Приказы МО РФ № 500, № 367, № 139, № 170 (ИД-2017), № 333.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ГОСТ 23167-91, ГОСТ 20881-91.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Инструкция по хранению вещевого имущества (открытые переизложения).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Открытые материалы по учёту имущества в подразделении (ф. 26, 37, 45).</w:t>
      </w:r>
    </w:p>
    <w:p>
      <w:pPr>
        <w:spacing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Дисклеймер: для юридически значимых решений используйте полные тексты НПА в актуальной редакции и документы своей воинской части. Документы с пометой ДСП в настоящей методичке не воспроизводятся.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