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pPr>
      <w:r>
        <w:rPr>
          <w:rFonts w:ascii="Calibri" w:hAnsi="Calibri"/>
          <w:b/>
          <w:color w:val="2E74B5"/>
          <w:sz w:val="20"/>
        </w:rPr>
        <w:t>SYSTEM REFERENCE</w:t>
      </w:r>
    </w:p>
    <w:p>
      <w:pPr>
        <w:pStyle w:val="Title"/>
      </w:pPr>
      <w:r>
        <w:t>Virtual Profile Agent</w:t>
        <w:br/>
        <w:t>Processing Guide</w:t>
      </w:r>
    </w:p>
    <w:p>
      <w:pPr>
        <w:pStyle w:val="Subtitle"/>
      </w:pPr>
      <w:r>
        <w:t>How a marketer’s sentence becomes an auditable, rendered, and validated PARENT_CONDITION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4EA"/>
            <w:tcBorders>
              <w:top w:val="single" w:sz="8" w:color="2E74B5"/>
              <w:start w:val="single" w:sz="16" w:color="2E74B5"/>
              <w:bottom w:val="single" w:sz="8" w:color="2E74B5"/>
              <w:end w:val="single" w:sz="8" w:color="2E74B5"/>
            </w:tcBorders>
          </w:tcPr>
          <w:p>
            <w:pPr>
              <w:pStyle w:val="Callout"/>
            </w:pPr>
            <w:r>
              <w:rPr>
                <w:b/>
              </w:rPr>
              <w:t xml:space="preserve">Core guarantee: </w:t>
            </w:r>
            <w:r>
              <w:t>The language model interprets business meaning, but it never writes condition syntax by hand. A rule exists only after render_condition emits it and validate_rule accepts it.</w:t>
            </w:r>
          </w:p>
        </w:tc>
      </w:tr>
    </w:tbl>
    <w:p>
      <w:pPr>
        <w:spacing w:after="0"/>
      </w:pPr>
    </w:p>
    <w:p>
      <w:pPr>
        <w:spacing w:after="360"/>
      </w:pPr>
    </w:p>
    <w:tbl>
      <w:tblPr>
        <w:tblStyle w:val="TableGrid"/>
        <w:tblW w:type="dxa" w:w="9360"/>
        <w:jc w:val="center"/>
        <w:tblLayout w:type="fixed"/>
        <w:tblLook w:firstColumn="1" w:firstRow="1" w:lastColumn="0" w:lastRow="0" w:noHBand="0" w:noVBand="1" w:val="04A0"/>
        <w:tblInd w:w="120" w:type="dxa"/>
      </w:tblPr>
      <w:tblGrid>
        <w:gridCol w:w="3000"/>
        <w:gridCol w:w="3000"/>
        <w:gridCol w:w="3360"/>
      </w:tblGrid>
      <w:tr>
        <w:trPr>
          <w:tblHeader w:val="true"/>
          <w:cantSplit/>
        </w:trPr>
        <w:tc>
          <w:tcPr>
            <w:tcW w:type="dxa" w:w="3000"/>
            <w:shd w:fill="E8EEF5"/>
            <w:tcMar>
              <w:top w:w="80" w:type="dxa"/>
              <w:start w:w="120" w:type="dxa"/>
              <w:bottom w:w="80" w:type="dxa"/>
              <w:end w:w="120" w:type="dxa"/>
            </w:tcMar>
            <w:vAlign w:val="center"/>
          </w:tcPr>
          <w:p>
            <w:pPr>
              <w:keepLines/>
              <w:spacing w:after="0"/>
            </w:pPr>
            <w:r>
              <w:rPr>
                <w:b/>
                <w:color w:val="17365D"/>
                <w:sz w:val="19"/>
              </w:rPr>
              <w:t>Applies to</w:t>
            </w:r>
          </w:p>
        </w:tc>
        <w:tc>
          <w:tcPr>
            <w:tcW w:type="dxa" w:w="3000"/>
            <w:shd w:fill="E8EEF5"/>
            <w:tcMar>
              <w:top w:w="80" w:type="dxa"/>
              <w:start w:w="120" w:type="dxa"/>
              <w:bottom w:w="80" w:type="dxa"/>
              <w:end w:w="120" w:type="dxa"/>
            </w:tcMar>
            <w:vAlign w:val="center"/>
          </w:tcPr>
          <w:p>
            <w:pPr>
              <w:keepLines/>
              <w:spacing w:after="0"/>
            </w:pPr>
            <w:r>
              <w:rPr>
                <w:b/>
                <w:color w:val="17365D"/>
                <w:sz w:val="19"/>
              </w:rPr>
              <w:t>Workflow</w:t>
            </w:r>
          </w:p>
        </w:tc>
        <w:tc>
          <w:tcPr>
            <w:tcW w:type="dxa" w:w="3360"/>
            <w:shd w:fill="E8EEF5"/>
            <w:tcMar>
              <w:top w:w="80" w:type="dxa"/>
              <w:start w:w="120" w:type="dxa"/>
              <w:bottom w:w="80" w:type="dxa"/>
              <w:end w:w="120" w:type="dxa"/>
            </w:tcMar>
            <w:vAlign w:val="center"/>
          </w:tcPr>
          <w:p>
            <w:pPr>
              <w:keepLines/>
              <w:spacing w:after="0"/>
            </w:pPr>
            <w:r>
              <w:rPr>
                <w:b/>
                <w:color w:val="17365D"/>
                <w:sz w:val="19"/>
              </w:rPr>
              <w:t>Worked example</w:t>
            </w:r>
          </w:p>
        </w:tc>
      </w:tr>
      <w:tr>
        <w:trPr>
          <w:cantSplit/>
        </w:trPr>
        <w:tc>
          <w:tcPr>
            <w:tcW w:type="dxa" w:w="3000"/>
            <w:tcMar>
              <w:top w:w="80" w:type="dxa"/>
              <w:start w:w="120" w:type="dxa"/>
              <w:bottom w:w="80" w:type="dxa"/>
              <w:end w:w="120" w:type="dxa"/>
            </w:tcMar>
            <w:vAlign w:val="center"/>
          </w:tcPr>
          <w:p>
            <w:pPr>
              <w:keepLines/>
              <w:spacing w:after="20" w:line="252" w:lineRule="auto"/>
            </w:pPr>
            <w:r>
              <w:rPr>
                <w:sz w:val="19"/>
              </w:rPr>
              <w:t>Omantel and Airtel VP requests</w:t>
            </w:r>
          </w:p>
        </w:tc>
        <w:tc>
          <w:tcPr>
            <w:tcW w:type="dxa" w:w="3000"/>
            <w:tcMar>
              <w:top w:w="80" w:type="dxa"/>
              <w:start w:w="120" w:type="dxa"/>
              <w:bottom w:w="80" w:type="dxa"/>
              <w:end w:w="120" w:type="dxa"/>
            </w:tcMar>
            <w:vAlign w:val="center"/>
          </w:tcPr>
          <w:p>
            <w:pPr>
              <w:keepLines/>
              <w:spacing w:after="20" w:line="252" w:lineRule="auto"/>
            </w:pPr>
            <w:r>
              <w:rPr>
                <w:sz w:val="19"/>
              </w:rPr>
              <w:t>Optimized orchestrator-led agent</w:t>
            </w:r>
          </w:p>
        </w:tc>
        <w:tc>
          <w:tcPr>
            <w:tcW w:type="dxa" w:w="3360"/>
            <w:tcMar>
              <w:top w:w="80" w:type="dxa"/>
              <w:start w:w="120" w:type="dxa"/>
              <w:bottom w:w="80" w:type="dxa"/>
              <w:end w:w="120" w:type="dxa"/>
            </w:tcMar>
            <w:vAlign w:val="center"/>
          </w:tcPr>
          <w:p>
            <w:pPr>
              <w:keepLines/>
              <w:spacing w:after="20" w:line="252" w:lineRule="auto"/>
            </w:pPr>
            <w:r>
              <w:rPr>
                <w:sz w:val="19"/>
              </w:rPr>
              <w:t>Real Omantel request 32e2594fe7</w:t>
            </w:r>
          </w:p>
        </w:tc>
      </w:tr>
    </w:tbl>
    <w:p>
      <w:pPr>
        <w:spacing w:after="0"/>
      </w:pPr>
    </w:p>
    <w:p>
      <w:pPr>
        <w:spacing w:after="400"/>
      </w:pPr>
    </w:p>
    <w:p>
      <w:pPr>
        <w:pStyle w:val="SmallText"/>
      </w:pPr>
      <w:r>
        <w:t>Document date: 15 July 2026  •  Audience: product, engineering, QA, and operations</w:t>
      </w:r>
    </w:p>
    <w:p>
      <w:r>
        <w:br w:type="page"/>
      </w:r>
    </w:p>
    <w:p>
      <w:pPr>
        <w:pStyle w:val="Heading1"/>
      </w:pPr>
      <w:r>
        <w:t>1. Purpose and scope</w:t>
      </w:r>
    </w:p>
    <w:p>
      <w:r>
        <w:t>This guide explains the optimized Virtual Profile (VP) agent from request receipt to final API response. It describes what is loaded, what each skill and tool contributes, who owns each decision, what is kept in model context, and what is preserved in Langfuse for audit.</w:t>
      </w:r>
    </w:p>
    <w:p>
      <w:r>
        <w:t>The system is intentionally hybrid: the orchestrating model owns semantic interpretation and retry strategy, while deterministic tools provide evidence, enforce invariants, render syntax, and validate the result.</w:t>
      </w:r>
    </w:p>
    <w:p>
      <w:pPr>
        <w:pStyle w:val="Heading1"/>
      </w:pPr>
      <w:r>
        <w:t>2. End-to-end workflow</w:t>
      </w:r>
    </w:p>
    <w:tbl>
      <w:tblPr>
        <w:tblStyle w:val="TableGrid"/>
        <w:tblW w:type="dxa" w:w="9360"/>
        <w:jc w:val="center"/>
        <w:tblLayout w:type="fixed"/>
        <w:tblLook w:firstColumn="1" w:firstRow="1" w:lastColumn="0" w:lastRow="0" w:noHBand="0" w:noVBand="1" w:val="04A0"/>
        <w:tblInd w:w="120" w:type="dxa"/>
      </w:tblPr>
      <w:tblGrid>
        <w:gridCol w:w="600"/>
        <w:gridCol w:w="1560"/>
        <w:gridCol w:w="7200"/>
      </w:tblGrid>
      <w:tr>
        <w:trPr>
          <w:tblHeader w:val="true"/>
          <w:cantSplit/>
        </w:trPr>
        <w:tc>
          <w:tcPr>
            <w:tcW w:type="dxa" w:w="600"/>
            <w:shd w:fill="E8EEF5"/>
            <w:tcMar>
              <w:top w:w="80" w:type="dxa"/>
              <w:start w:w="120" w:type="dxa"/>
              <w:bottom w:w="80" w:type="dxa"/>
              <w:end w:w="120" w:type="dxa"/>
            </w:tcMar>
            <w:vAlign w:val="center"/>
          </w:tcPr>
          <w:p>
            <w:pPr>
              <w:keepLines/>
              <w:spacing w:after="0"/>
            </w:pPr>
            <w:r>
              <w:rPr>
                <w:b/>
                <w:color w:val="17365D"/>
                <w:sz w:val="18"/>
              </w:rPr>
            </w:r>
          </w:p>
        </w:tc>
        <w:tc>
          <w:tcPr>
            <w:tcW w:type="dxa" w:w="1560"/>
            <w:shd w:fill="E8EEF5"/>
            <w:tcMar>
              <w:top w:w="80" w:type="dxa"/>
              <w:start w:w="120" w:type="dxa"/>
              <w:bottom w:w="80" w:type="dxa"/>
              <w:end w:w="120" w:type="dxa"/>
            </w:tcMar>
            <w:vAlign w:val="center"/>
          </w:tcPr>
          <w:p>
            <w:pPr>
              <w:keepLines/>
              <w:spacing w:after="0"/>
            </w:pPr>
            <w:r>
              <w:rPr>
                <w:b/>
                <w:color w:val="17365D"/>
                <w:sz w:val="18"/>
              </w:rPr>
              <w:t>Stage</w:t>
            </w:r>
          </w:p>
        </w:tc>
        <w:tc>
          <w:tcPr>
            <w:tcW w:type="dxa" w:w="7200"/>
            <w:shd w:fill="E8EEF5"/>
            <w:tcMar>
              <w:top w:w="80" w:type="dxa"/>
              <w:start w:w="120" w:type="dxa"/>
              <w:bottom w:w="80" w:type="dxa"/>
              <w:end w:w="120" w:type="dxa"/>
            </w:tcMar>
            <w:vAlign w:val="center"/>
          </w:tcPr>
          <w:p>
            <w:pPr>
              <w:keepLines/>
              <w:spacing w:after="0"/>
            </w:pPr>
            <w:r>
              <w:rPr>
                <w:b/>
                <w:color w:val="17365D"/>
                <w:sz w:val="18"/>
              </w:rPr>
              <w:t>What happens</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1</w:t>
            </w:r>
          </w:p>
        </w:tc>
        <w:tc>
          <w:tcPr>
            <w:tcW w:type="dxa" w:w="1560"/>
            <w:tcMar>
              <w:top w:w="80" w:type="dxa"/>
              <w:start w:w="120" w:type="dxa"/>
              <w:bottom w:w="80" w:type="dxa"/>
              <w:end w:w="120" w:type="dxa"/>
            </w:tcMar>
            <w:vAlign w:val="center"/>
          </w:tcPr>
          <w:p>
            <w:pPr>
              <w:keepLines/>
              <w:spacing w:after="20" w:line="252" w:lineRule="auto"/>
            </w:pPr>
            <w:r>
              <w:rPr>
                <w:sz w:val="18"/>
              </w:rPr>
              <w:t>Receive</w:t>
            </w:r>
          </w:p>
        </w:tc>
        <w:tc>
          <w:tcPr>
            <w:tcW w:type="dxa" w:w="7200"/>
            <w:tcMar>
              <w:top w:w="80" w:type="dxa"/>
              <w:start w:w="120" w:type="dxa"/>
              <w:bottom w:w="80" w:type="dxa"/>
              <w:end w:w="120" w:type="dxa"/>
            </w:tcMar>
            <w:vAlign w:val="center"/>
          </w:tcPr>
          <w:p>
            <w:pPr>
              <w:keepLines/>
              <w:spacing w:after="20" w:line="252" w:lineRule="auto"/>
            </w:pPr>
            <w:r>
              <w:rPr>
                <w:sz w:val="18"/>
              </w:rPr>
              <w:t>Wrapper supplies client + marketer sentence; a request ID is created.</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2</w:t>
            </w:r>
          </w:p>
        </w:tc>
        <w:tc>
          <w:tcPr>
            <w:tcW w:type="dxa" w:w="1560"/>
            <w:tcMar>
              <w:top w:w="80" w:type="dxa"/>
              <w:start w:w="120" w:type="dxa"/>
              <w:bottom w:w="80" w:type="dxa"/>
              <w:end w:w="120" w:type="dxa"/>
            </w:tcMar>
            <w:vAlign w:val="center"/>
          </w:tcPr>
          <w:p>
            <w:pPr>
              <w:keepLines/>
              <w:spacing w:after="20" w:line="252" w:lineRule="auto"/>
            </w:pPr>
            <w:r>
              <w:rPr>
                <w:sz w:val="18"/>
              </w:rPr>
              <w:t>Interpret</w:t>
            </w:r>
          </w:p>
        </w:tc>
        <w:tc>
          <w:tcPr>
            <w:tcW w:type="dxa" w:w="7200"/>
            <w:tcMar>
              <w:top w:w="80" w:type="dxa"/>
              <w:start w:w="120" w:type="dxa"/>
              <w:bottom w:w="80" w:type="dxa"/>
              <w:end w:w="120" w:type="dxa"/>
            </w:tcMar>
            <w:vAlign w:val="center"/>
          </w:tcPr>
          <w:p>
            <w:pPr>
              <w:keepLines/>
              <w:spacing w:after="20" w:line="252" w:lineRule="auto"/>
            </w:pPr>
            <w:r>
              <w:rPr>
                <w:sz w:val="18"/>
              </w:rPr>
              <w:t>Core skills guide semantic extraction; normalization produces evidence.</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3</w:t>
            </w:r>
          </w:p>
        </w:tc>
        <w:tc>
          <w:tcPr>
            <w:tcW w:type="dxa" w:w="1560"/>
            <w:tcMar>
              <w:top w:w="80" w:type="dxa"/>
              <w:start w:w="120" w:type="dxa"/>
              <w:bottom w:w="80" w:type="dxa"/>
              <w:end w:w="120" w:type="dxa"/>
            </w:tcMar>
            <w:vAlign w:val="center"/>
          </w:tcPr>
          <w:p>
            <w:pPr>
              <w:keepLines/>
              <w:spacing w:after="20" w:line="252" w:lineRule="auto"/>
            </w:pPr>
            <w:r>
              <w:rPr>
                <w:sz w:val="18"/>
              </w:rPr>
              <w:t>Retrieve</w:t>
            </w:r>
          </w:p>
        </w:tc>
        <w:tc>
          <w:tcPr>
            <w:tcW w:type="dxa" w:w="7200"/>
            <w:tcMar>
              <w:top w:w="80" w:type="dxa"/>
              <w:start w:w="120" w:type="dxa"/>
              <w:bottom w:w="80" w:type="dxa"/>
              <w:end w:w="120" w:type="dxa"/>
            </w:tcMar>
            <w:vAlign w:val="center"/>
          </w:tcPr>
          <w:p>
            <w:pPr>
              <w:keepLines/>
              <w:spacing w:after="20" w:line="252" w:lineRule="auto"/>
            </w:pPr>
            <w:r>
              <w:rPr>
                <w:sz w:val="18"/>
              </w:rPr>
              <w:t>One batched call returns compact metric, filter, and time candidates.</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4</w:t>
            </w:r>
          </w:p>
        </w:tc>
        <w:tc>
          <w:tcPr>
            <w:tcW w:type="dxa" w:w="1560"/>
            <w:tcMar>
              <w:top w:w="80" w:type="dxa"/>
              <w:start w:w="120" w:type="dxa"/>
              <w:bottom w:w="80" w:type="dxa"/>
              <w:end w:w="120" w:type="dxa"/>
            </w:tcMar>
            <w:vAlign w:val="center"/>
          </w:tcPr>
          <w:p>
            <w:pPr>
              <w:keepLines/>
              <w:spacing w:after="20" w:line="252" w:lineRule="auto"/>
            </w:pPr>
            <w:r>
              <w:rPr>
                <w:sz w:val="18"/>
              </w:rPr>
              <w:t>Resolve</w:t>
            </w:r>
          </w:p>
        </w:tc>
        <w:tc>
          <w:tcPr>
            <w:tcW w:type="dxa" w:w="7200"/>
            <w:tcMar>
              <w:top w:w="80" w:type="dxa"/>
              <w:start w:w="120" w:type="dxa"/>
              <w:bottom w:w="80" w:type="dxa"/>
              <w:end w:w="120" w:type="dxa"/>
            </w:tcMar>
            <w:vAlign w:val="center"/>
          </w:tcPr>
          <w:p>
            <w:pPr>
              <w:keepLines/>
              <w:spacing w:after="20" w:line="252" w:lineRule="auto"/>
            </w:pPr>
            <w:r>
              <w:rPr>
                <w:sz w:val="18"/>
              </w:rPr>
              <w:t>The agent chooses columns, table/date path, and the best seed or override.</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5</w:t>
            </w:r>
          </w:p>
        </w:tc>
        <w:tc>
          <w:tcPr>
            <w:tcW w:type="dxa" w:w="1560"/>
            <w:tcMar>
              <w:top w:w="80" w:type="dxa"/>
              <w:start w:w="120" w:type="dxa"/>
              <w:bottom w:w="80" w:type="dxa"/>
              <w:end w:w="120" w:type="dxa"/>
            </w:tcMar>
            <w:vAlign w:val="center"/>
          </w:tcPr>
          <w:p>
            <w:pPr>
              <w:keepLines/>
              <w:spacing w:after="20" w:line="252" w:lineRule="auto"/>
            </w:pPr>
            <w:r>
              <w:rPr>
                <w:sz w:val="18"/>
              </w:rPr>
              <w:t>Render</w:t>
            </w:r>
          </w:p>
        </w:tc>
        <w:tc>
          <w:tcPr>
            <w:tcW w:type="dxa" w:w="7200"/>
            <w:tcMar>
              <w:top w:w="80" w:type="dxa"/>
              <w:start w:w="120" w:type="dxa"/>
              <w:bottom w:w="80" w:type="dxa"/>
              <w:end w:w="120" w:type="dxa"/>
            </w:tcMar>
            <w:vAlign w:val="center"/>
          </w:tcPr>
          <w:p>
            <w:pPr>
              <w:keepLines/>
              <w:spacing w:after="20" w:line="252" w:lineRule="auto"/>
            </w:pPr>
            <w:r>
              <w:rPr>
                <w:sz w:val="18"/>
              </w:rPr>
              <w:t>Only render_condition is allowed to emit PARENT_CONDITION syntax.</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6</w:t>
            </w:r>
          </w:p>
        </w:tc>
        <w:tc>
          <w:tcPr>
            <w:tcW w:type="dxa" w:w="1560"/>
            <w:tcMar>
              <w:top w:w="80" w:type="dxa"/>
              <w:start w:w="120" w:type="dxa"/>
              <w:bottom w:w="80" w:type="dxa"/>
              <w:end w:w="120" w:type="dxa"/>
            </w:tcMar>
            <w:vAlign w:val="center"/>
          </w:tcPr>
          <w:p>
            <w:pPr>
              <w:keepLines/>
              <w:spacing w:after="20" w:line="252" w:lineRule="auto"/>
            </w:pPr>
            <w:r>
              <w:rPr>
                <w:sz w:val="18"/>
              </w:rPr>
              <w:t>Validate</w:t>
            </w:r>
          </w:p>
        </w:tc>
        <w:tc>
          <w:tcPr>
            <w:tcW w:type="dxa" w:w="7200"/>
            <w:tcMar>
              <w:top w:w="80" w:type="dxa"/>
              <w:start w:w="120" w:type="dxa"/>
              <w:bottom w:w="80" w:type="dxa"/>
              <w:end w:w="120" w:type="dxa"/>
            </w:tcMar>
            <w:vAlign w:val="center"/>
          </w:tcPr>
          <w:p>
            <w:pPr>
              <w:keepLines/>
              <w:spacing w:after="20" w:line="252" w:lineRule="auto"/>
            </w:pPr>
            <w:r>
              <w:rPr>
                <w:sz w:val="18"/>
              </w:rPr>
              <w:t>Deterministic checks confirm grammar, columns, table, and coverage.</w:t>
            </w:r>
          </w:p>
        </w:tc>
      </w:tr>
      <w:tr>
        <w:trPr>
          <w:cantSplit/>
        </w:trPr>
        <w:tc>
          <w:tcPr>
            <w:tcW w:type="dxa" w:w="600"/>
            <w:tcMar>
              <w:top w:w="80" w:type="dxa"/>
              <w:start w:w="120" w:type="dxa"/>
              <w:bottom w:w="80" w:type="dxa"/>
              <w:end w:w="120" w:type="dxa"/>
            </w:tcMar>
            <w:vAlign w:val="center"/>
            <w:shd w:fill="E8EEF5"/>
          </w:tcPr>
          <w:p>
            <w:pPr>
              <w:keepLines/>
              <w:spacing w:after="20" w:line="252" w:lineRule="auto"/>
              <w:jc w:val="center"/>
            </w:pPr>
            <w:r>
              <w:rPr>
                <w:b/>
                <w:sz w:val="18"/>
              </w:rPr>
              <w:t>7</w:t>
            </w:r>
          </w:p>
        </w:tc>
        <w:tc>
          <w:tcPr>
            <w:tcW w:type="dxa" w:w="1560"/>
            <w:tcMar>
              <w:top w:w="80" w:type="dxa"/>
              <w:start w:w="120" w:type="dxa"/>
              <w:bottom w:w="80" w:type="dxa"/>
              <w:end w:w="120" w:type="dxa"/>
            </w:tcMar>
            <w:vAlign w:val="center"/>
          </w:tcPr>
          <w:p>
            <w:pPr>
              <w:keepLines/>
              <w:spacing w:after="20" w:line="252" w:lineRule="auto"/>
            </w:pPr>
            <w:r>
              <w:rPr>
                <w:sz w:val="18"/>
              </w:rPr>
              <w:t>Return + audit</w:t>
            </w:r>
          </w:p>
        </w:tc>
        <w:tc>
          <w:tcPr>
            <w:tcW w:type="dxa" w:w="7200"/>
            <w:tcMar>
              <w:top w:w="80" w:type="dxa"/>
              <w:start w:w="120" w:type="dxa"/>
              <w:bottom w:w="80" w:type="dxa"/>
              <w:end w:w="120" w:type="dxa"/>
            </w:tcMar>
            <w:vAlign w:val="center"/>
          </w:tcPr>
          <w:p>
            <w:pPr>
              <w:keepLines/>
              <w:spacing w:after="20" w:line="252" w:lineRule="auto"/>
            </w:pPr>
            <w:r>
              <w:rPr>
                <w:sz w:val="18"/>
              </w:rPr>
              <w:t>The API returns the result; Langfuse retains the complete trace.</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top w:val="single" w:sz="8" w:color="2E74B5"/>
              <w:start w:val="single" w:sz="16" w:color="2E74B5"/>
              <w:bottom w:val="single" w:sz="8" w:color="2E74B5"/>
              <w:end w:val="single" w:sz="8" w:color="2E74B5"/>
            </w:tcBorders>
          </w:tcPr>
          <w:p>
            <w:pPr>
              <w:pStyle w:val="Callout"/>
            </w:pPr>
            <w:r>
              <w:rPr>
                <w:b/>
              </w:rPr>
              <w:t xml:space="preserve">Important distinction: </w:t>
            </w:r>
            <w:r>
              <w:t>Retrieval candidates and seed suggestions are traceable recommendations, not final truth. The agent may reject them when they conflict with the marketer’s meaning, but the override must be recorded.</w:t>
            </w:r>
          </w:p>
        </w:tc>
      </w:tr>
    </w:tbl>
    <w:p>
      <w:pPr>
        <w:spacing w:after="0"/>
      </w:pPr>
    </w:p>
    <w:p>
      <w:pPr>
        <w:pStyle w:val="Heading2"/>
      </w:pPr>
      <w:r>
        <w:t>2.1 Request contract</w:t>
      </w:r>
    </w:p>
    <w:p>
      <w:r>
        <w:t>The wrapper service sends two business inputs:</w:t>
      </w:r>
    </w:p>
    <w:p>
      <w:pPr>
        <w:pStyle w:val="ListBullet"/>
      </w:pPr>
      <w:r>
        <w:t>client — required and never inferred from the sentence.</w:t>
      </w:r>
    </w:p>
    <w:p>
      <w:pPr>
        <w:pStyle w:val="ListBullet"/>
      </w:pPr>
      <w:r>
        <w:t>sentence — the marketer’s audience or KPI request in plain language.</w:t>
      </w:r>
    </w:p>
    <w:p>
      <w:pPr>
        <w:pStyle w:val="CodeBlock"/>
        <w:keepLines/>
        <w:shd w:fill="F4F6F8"/>
        <w:pBdr>
          <w:top w:val="single" w:sz="6" w:space="4" w:color="D6DCE4"/>
          <w:left w:val="single" w:sz="6" w:space="4" w:color="D6DCE4"/>
          <w:bottom w:val="single" w:sz="6" w:space="4" w:color="D6DCE4"/>
          <w:right w:val="single" w:sz="6" w:space="4" w:color="D6DCE4"/>
        </w:pBdr>
      </w:pPr>
      <w:r>
        <w:t>{</w:t>
        <w:br/>
        <w:t xml:space="preserve">  "client": "omantel",</w:t>
        <w:br/>
        <w:t xml:space="preserve">  "sentence": "Total pay-as-you-go data used on the local network by smartphone users over last 3 months"</w:t>
        <w:br/>
        <w:t>}</w:t>
      </w:r>
    </w:p>
    <w:p>
      <w:r>
        <w:t>The service creates a request ID before orchestration. That ID links the API response, request-state audit, and Langfuse trace.</w:t>
      </w:r>
    </w:p>
    <w:p>
      <w:pPr>
        <w:pStyle w:val="Heading2"/>
      </w:pPr>
      <w:r>
        <w:t>2.2 Stable ambiguity precheck</w:t>
      </w:r>
    </w:p>
    <w:p>
      <w:r>
        <w:t>Before expensive reasoning, stable business ambiguities may be detected. For example, “20% of recharge amount” could mean customers whose recharge is at least 20% of a benchmark, or a computed 20% share. When the meaning cannot be safely determined, the agent returns one plain-English clarification question instead of guessing.</w:t>
      </w:r>
    </w:p>
    <w:p>
      <w:pPr>
        <w:pStyle w:val="Heading1"/>
      </w:pPr>
      <w:r>
        <w:t>3. Who owns each decision?</w:t>
      </w:r>
    </w:p>
    <w:tbl>
      <w:tblPr>
        <w:tblStyle w:val="TableGrid"/>
        <w:tblW w:type="dxa" w:w="9360"/>
        <w:jc w:val="center"/>
        <w:tblLayout w:type="fixed"/>
        <w:tblLook w:firstColumn="1" w:firstRow="1" w:lastColumn="0" w:lastRow="0" w:noHBand="0" w:noVBand="1" w:val="04A0"/>
        <w:tblInd w:w="120" w:type="dxa"/>
      </w:tblPr>
      <w:tblGrid>
        <w:gridCol w:w="2640"/>
        <w:gridCol w:w="2160"/>
        <w:gridCol w:w="4560"/>
      </w:tblGrid>
      <w:tr>
        <w:trPr>
          <w:tblHeader w:val="true"/>
          <w:cantSplit/>
        </w:trPr>
        <w:tc>
          <w:tcPr>
            <w:tcW w:type="dxa" w:w="2640"/>
            <w:shd w:fill="E8EEF5"/>
            <w:tcMar>
              <w:top w:w="80" w:type="dxa"/>
              <w:start w:w="120" w:type="dxa"/>
              <w:bottom w:w="80" w:type="dxa"/>
              <w:end w:w="120" w:type="dxa"/>
            </w:tcMar>
            <w:vAlign w:val="center"/>
          </w:tcPr>
          <w:p>
            <w:pPr>
              <w:keepLines/>
              <w:spacing w:after="0"/>
            </w:pPr>
            <w:r>
              <w:rPr>
                <w:b/>
                <w:color w:val="17365D"/>
                <w:sz w:val="17"/>
              </w:rPr>
              <w:t>Responsibility</w:t>
            </w:r>
          </w:p>
        </w:tc>
        <w:tc>
          <w:tcPr>
            <w:tcW w:type="dxa" w:w="2160"/>
            <w:shd w:fill="E8EEF5"/>
            <w:tcMar>
              <w:top w:w="80" w:type="dxa"/>
              <w:start w:w="120" w:type="dxa"/>
              <w:bottom w:w="80" w:type="dxa"/>
              <w:end w:w="120" w:type="dxa"/>
            </w:tcMar>
            <w:vAlign w:val="center"/>
          </w:tcPr>
          <w:p>
            <w:pPr>
              <w:keepLines/>
              <w:spacing w:after="0"/>
            </w:pPr>
            <w:r>
              <w:rPr>
                <w:b/>
                <w:color w:val="17365D"/>
                <w:sz w:val="17"/>
              </w:rPr>
              <w:t>Owner</w:t>
            </w:r>
          </w:p>
        </w:tc>
        <w:tc>
          <w:tcPr>
            <w:tcW w:type="dxa" w:w="4560"/>
            <w:shd w:fill="E8EEF5"/>
            <w:tcMar>
              <w:top w:w="80" w:type="dxa"/>
              <w:start w:w="120" w:type="dxa"/>
              <w:bottom w:w="80" w:type="dxa"/>
              <w:end w:w="120" w:type="dxa"/>
            </w:tcMar>
            <w:vAlign w:val="center"/>
          </w:tcPr>
          <w:p>
            <w:pPr>
              <w:keepLines/>
              <w:spacing w:after="0"/>
            </w:pPr>
            <w:r>
              <w:rPr>
                <w:b/>
                <w:color w:val="17365D"/>
                <w:sz w:val="17"/>
              </w:rPr>
              <w:t>Boundary</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Business interpretation</w:t>
            </w:r>
          </w:p>
        </w:tc>
        <w:tc>
          <w:tcPr>
            <w:tcW w:type="dxa" w:w="2160"/>
            <w:tcMar>
              <w:top w:w="80" w:type="dxa"/>
              <w:start w:w="120" w:type="dxa"/>
              <w:bottom w:w="80" w:type="dxa"/>
              <w:end w:w="120" w:type="dxa"/>
            </w:tcMar>
            <w:vAlign w:val="center"/>
          </w:tcPr>
          <w:p>
            <w:pPr>
              <w:keepLines/>
              <w:spacing w:after="20" w:line="252" w:lineRule="auto"/>
            </w:pPr>
            <w:r>
              <w:rPr>
                <w:sz w:val="17"/>
              </w:rPr>
              <w:t>Orchestrating model</w:t>
            </w:r>
          </w:p>
        </w:tc>
        <w:tc>
          <w:tcPr>
            <w:tcW w:type="dxa" w:w="4560"/>
            <w:tcMar>
              <w:top w:w="80" w:type="dxa"/>
              <w:start w:w="120" w:type="dxa"/>
              <w:bottom w:w="80" w:type="dxa"/>
              <w:end w:w="120" w:type="dxa"/>
            </w:tcMar>
            <w:vAlign w:val="center"/>
          </w:tcPr>
          <w:p>
            <w:pPr>
              <w:keepLines/>
              <w:spacing w:after="20" w:line="252" w:lineRule="auto"/>
            </w:pPr>
            <w:r>
              <w:rPr>
                <w:sz w:val="17"/>
              </w:rPr>
              <w:t>Understands KPI, filters, aggregate, period, ambiguity, and comparison intent.</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Candidate evidence</w:t>
            </w:r>
          </w:p>
        </w:tc>
        <w:tc>
          <w:tcPr>
            <w:tcW w:type="dxa" w:w="2160"/>
            <w:tcMar>
              <w:top w:w="80" w:type="dxa"/>
              <w:start w:w="120" w:type="dxa"/>
              <w:bottom w:w="80" w:type="dxa"/>
              <w:end w:w="120" w:type="dxa"/>
            </w:tcMar>
            <w:vAlign w:val="center"/>
          </w:tcPr>
          <w:p>
            <w:pPr>
              <w:keepLines/>
              <w:spacing w:after="20" w:line="252" w:lineRule="auto"/>
            </w:pPr>
            <w:r>
              <w:rPr>
                <w:sz w:val="17"/>
              </w:rPr>
              <w:t>Retrieval tools</w:t>
            </w:r>
          </w:p>
        </w:tc>
        <w:tc>
          <w:tcPr>
            <w:tcW w:type="dxa" w:w="4560"/>
            <w:tcMar>
              <w:top w:w="80" w:type="dxa"/>
              <w:start w:w="120" w:type="dxa"/>
              <w:bottom w:w="80" w:type="dxa"/>
              <w:end w:w="120" w:type="dxa"/>
            </w:tcMar>
            <w:vAlign w:val="center"/>
          </w:tcPr>
          <w:p>
            <w:pPr>
              <w:keepLines/>
              <w:spacing w:after="20" w:line="252" w:lineRule="auto"/>
            </w:pPr>
            <w:r>
              <w:rPr>
                <w:sz w:val="17"/>
              </w:rPr>
              <w:t>Surface ranked metadata; they do not declare final business truth.</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Table/date routing</w:t>
            </w:r>
          </w:p>
        </w:tc>
        <w:tc>
          <w:tcPr>
            <w:tcW w:type="dxa" w:w="2160"/>
            <w:tcMar>
              <w:top w:w="80" w:type="dxa"/>
              <w:start w:w="120" w:type="dxa"/>
              <w:bottom w:w="80" w:type="dxa"/>
              <w:end w:w="120" w:type="dxa"/>
            </w:tcMar>
            <w:vAlign w:val="center"/>
          </w:tcPr>
          <w:p>
            <w:pPr>
              <w:keepLines/>
              <w:spacing w:after="20" w:line="252" w:lineRule="auto"/>
            </w:pPr>
            <w:r>
              <w:rPr>
                <w:sz w:val="17"/>
              </w:rPr>
              <w:t>Model + deterministic configuration</w:t>
            </w:r>
          </w:p>
        </w:tc>
        <w:tc>
          <w:tcPr>
            <w:tcW w:type="dxa" w:w="4560"/>
            <w:tcMar>
              <w:top w:w="80" w:type="dxa"/>
              <w:start w:w="120" w:type="dxa"/>
              <w:bottom w:w="80" w:type="dxa"/>
              <w:end w:w="120" w:type="dxa"/>
            </w:tcMar>
            <w:vAlign w:val="center"/>
          </w:tcPr>
          <w:p>
            <w:pPr>
              <w:keepLines/>
              <w:spacing w:after="20" w:line="252" w:lineRule="auto"/>
            </w:pPr>
            <w:r>
              <w:rPr>
                <w:sz w:val="17"/>
              </w:rPr>
              <w:t>The model chooses the semantic path; configuration supplies stable group date defaults.</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Template proposal</w:t>
            </w:r>
          </w:p>
        </w:tc>
        <w:tc>
          <w:tcPr>
            <w:tcW w:type="dxa" w:w="2160"/>
            <w:tcMar>
              <w:top w:w="80" w:type="dxa"/>
              <w:start w:w="120" w:type="dxa"/>
              <w:bottom w:w="80" w:type="dxa"/>
              <w:end w:w="120" w:type="dxa"/>
            </w:tcMar>
            <w:vAlign w:val="center"/>
          </w:tcPr>
          <w:p>
            <w:pPr>
              <w:keepLines/>
              <w:spacing w:after="20" w:line="252" w:lineRule="auto"/>
            </w:pPr>
            <w:r>
              <w:rPr>
                <w:sz w:val="17"/>
              </w:rPr>
              <w:t>Seed selector</w:t>
            </w:r>
          </w:p>
        </w:tc>
        <w:tc>
          <w:tcPr>
            <w:tcW w:type="dxa" w:w="4560"/>
            <w:tcMar>
              <w:top w:w="80" w:type="dxa"/>
              <w:start w:w="120" w:type="dxa"/>
              <w:bottom w:w="80" w:type="dxa"/>
              <w:end w:w="120" w:type="dxa"/>
            </w:tcMar>
            <w:vAlign w:val="center"/>
          </w:tcPr>
          <w:p>
            <w:pPr>
              <w:keepLines/>
              <w:spacing w:after="20" w:line="252" w:lineRule="auto"/>
            </w:pPr>
            <w:r>
              <w:rPr>
                <w:sz w:val="17"/>
              </w:rPr>
              <w:t>Returns a traceable proposal and alternatives; the agent may promote a better alternative.</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Condition syntax</w:t>
            </w:r>
          </w:p>
        </w:tc>
        <w:tc>
          <w:tcPr>
            <w:tcW w:type="dxa" w:w="2160"/>
            <w:tcMar>
              <w:top w:w="80" w:type="dxa"/>
              <w:start w:w="120" w:type="dxa"/>
              <w:bottom w:w="80" w:type="dxa"/>
              <w:end w:w="120" w:type="dxa"/>
            </w:tcMar>
            <w:vAlign w:val="center"/>
          </w:tcPr>
          <w:p>
            <w:pPr>
              <w:keepLines/>
              <w:spacing w:after="20" w:line="252" w:lineRule="auto"/>
            </w:pPr>
            <w:r>
              <w:rPr>
                <w:sz w:val="17"/>
              </w:rPr>
              <w:t>render_condition</w:t>
            </w:r>
          </w:p>
        </w:tc>
        <w:tc>
          <w:tcPr>
            <w:tcW w:type="dxa" w:w="4560"/>
            <w:tcMar>
              <w:top w:w="80" w:type="dxa"/>
              <w:start w:w="120" w:type="dxa"/>
              <w:bottom w:w="80" w:type="dxa"/>
              <w:end w:w="120" w:type="dxa"/>
            </w:tcMar>
            <w:vAlign w:val="center"/>
          </w:tcPr>
          <w:p>
            <w:pPr>
              <w:keepLines/>
              <w:spacing w:after="20" w:line="252" w:lineRule="auto"/>
            </w:pPr>
            <w:r>
              <w:rPr>
                <w:sz w:val="17"/>
              </w:rPr>
              <w:t>Exclusive syntax emitter. The model cannot patch or hand-write grammar.</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Rule acceptance</w:t>
            </w:r>
          </w:p>
        </w:tc>
        <w:tc>
          <w:tcPr>
            <w:tcW w:type="dxa" w:w="2160"/>
            <w:tcMar>
              <w:top w:w="80" w:type="dxa"/>
              <w:start w:w="120" w:type="dxa"/>
              <w:bottom w:w="80" w:type="dxa"/>
              <w:end w:w="120" w:type="dxa"/>
            </w:tcMar>
            <w:vAlign w:val="center"/>
          </w:tcPr>
          <w:p>
            <w:pPr>
              <w:keepLines/>
              <w:spacing w:after="20" w:line="252" w:lineRule="auto"/>
            </w:pPr>
            <w:r>
              <w:rPr>
                <w:sz w:val="17"/>
              </w:rPr>
              <w:t>validate_rule</w:t>
            </w:r>
          </w:p>
        </w:tc>
        <w:tc>
          <w:tcPr>
            <w:tcW w:type="dxa" w:w="4560"/>
            <w:tcMar>
              <w:top w:w="80" w:type="dxa"/>
              <w:start w:w="120" w:type="dxa"/>
              <w:bottom w:w="80" w:type="dxa"/>
              <w:end w:w="120" w:type="dxa"/>
            </w:tcMar>
            <w:vAlign w:val="center"/>
          </w:tcPr>
          <w:p>
            <w:pPr>
              <w:keepLines/>
              <w:spacing w:after="20" w:line="252" w:lineRule="auto"/>
            </w:pPr>
            <w:r>
              <w:rPr>
                <w:sz w:val="17"/>
              </w:rPr>
              <w:t>Deterministically checks the emitted rule and reports errors or warnings.</w:t>
            </w:r>
          </w:p>
        </w:tc>
      </w:tr>
      <w:tr>
        <w:trPr>
          <w:cantSplit/>
        </w:trPr>
        <w:tc>
          <w:tcPr>
            <w:tcW w:type="dxa" w:w="2640"/>
            <w:tcMar>
              <w:top w:w="80" w:type="dxa"/>
              <w:start w:w="120" w:type="dxa"/>
              <w:bottom w:w="80" w:type="dxa"/>
              <w:end w:w="120" w:type="dxa"/>
            </w:tcMar>
            <w:vAlign w:val="center"/>
          </w:tcPr>
          <w:p>
            <w:pPr>
              <w:keepLines/>
              <w:spacing w:after="20" w:line="252" w:lineRule="auto"/>
            </w:pPr>
            <w:r>
              <w:rPr>
                <w:sz w:val="17"/>
              </w:rPr>
              <w:t>Retry strategy</w:t>
            </w:r>
          </w:p>
        </w:tc>
        <w:tc>
          <w:tcPr>
            <w:tcW w:type="dxa" w:w="2160"/>
            <w:tcMar>
              <w:top w:w="80" w:type="dxa"/>
              <w:start w:w="120" w:type="dxa"/>
              <w:bottom w:w="80" w:type="dxa"/>
              <w:end w:w="120" w:type="dxa"/>
            </w:tcMar>
            <w:vAlign w:val="center"/>
          </w:tcPr>
          <w:p>
            <w:pPr>
              <w:keepLines/>
              <w:spacing w:after="20" w:line="252" w:lineRule="auto"/>
            </w:pPr>
            <w:r>
              <w:rPr>
                <w:sz w:val="17"/>
              </w:rPr>
              <w:t>Orchestrating model</w:t>
            </w:r>
          </w:p>
        </w:tc>
        <w:tc>
          <w:tcPr>
            <w:tcW w:type="dxa" w:w="4560"/>
            <w:tcMar>
              <w:top w:w="80" w:type="dxa"/>
              <w:start w:w="120" w:type="dxa"/>
              <w:bottom w:w="80" w:type="dxa"/>
              <w:end w:w="120" w:type="dxa"/>
            </w:tcMar>
            <w:vAlign w:val="center"/>
          </w:tcPr>
          <w:p>
            <w:pPr>
              <w:keepLines/>
              <w:spacing w:after="20" w:line="252" w:lineRule="auto"/>
            </w:pPr>
            <w:r>
              <w:rPr>
                <w:sz w:val="17"/>
              </w:rPr>
              <w:t>Retries retrieval/routing with corrected inputs; never repairs rendered syntax manually.</w:t>
            </w:r>
          </w:p>
        </w:tc>
      </w:tr>
    </w:tbl>
    <w:p>
      <w:pPr>
        <w:spacing w:after="0"/>
      </w:pPr>
    </w:p>
    <w:p>
      <w:pPr>
        <w:pStyle w:val="Heading1"/>
      </w:pPr>
      <w:r>
        <w:t>4. Skill loading and progressive disclosure</w:t>
      </w:r>
    </w:p>
    <w:p>
      <w:r>
        <w:t>Skills are procedural instructions for the agent. The platform Skill capability loads a skill body only when its guidance is needed. Larger reference material remains outside the default prompt and is opened through Read only for the relevant case. This is progressive disclosure: keep the normal path compact, expand when uncertainty requires it.</w:t>
      </w:r>
    </w:p>
    <w:p>
      <w:pPr>
        <w:pStyle w:val="Heading2"/>
      </w:pPr>
      <w:r>
        <w:t>4.1 Core skills</w:t>
      </w:r>
    </w:p>
    <w:tbl>
      <w:tblPr>
        <w:tblStyle w:val="TableGrid"/>
        <w:tblW w:type="dxa" w:w="9360"/>
        <w:jc w:val="center"/>
        <w:tblLayout w:type="fixed"/>
        <w:tblLook w:firstColumn="1" w:firstRow="1" w:lastColumn="0" w:lastRow="0" w:noHBand="0" w:noVBand="1" w:val="04A0"/>
        <w:tblInd w:w="120" w:type="dxa"/>
      </w:tblPr>
      <w:tblGrid>
        <w:gridCol w:w="2100"/>
        <w:gridCol w:w="1680"/>
        <w:gridCol w:w="5580"/>
      </w:tblGrid>
      <w:tr>
        <w:trPr>
          <w:tblHeader w:val="true"/>
          <w:cantSplit/>
        </w:trPr>
        <w:tc>
          <w:tcPr>
            <w:tcW w:type="dxa" w:w="2100"/>
            <w:shd w:fill="E8EEF5"/>
            <w:tcMar>
              <w:top w:w="80" w:type="dxa"/>
              <w:start w:w="120" w:type="dxa"/>
              <w:bottom w:w="80" w:type="dxa"/>
              <w:end w:w="120" w:type="dxa"/>
            </w:tcMar>
            <w:vAlign w:val="center"/>
          </w:tcPr>
          <w:p>
            <w:pPr>
              <w:keepLines/>
              <w:spacing w:after="0"/>
            </w:pPr>
            <w:r>
              <w:rPr>
                <w:b/>
                <w:color w:val="17365D"/>
                <w:sz w:val="18"/>
              </w:rPr>
              <w:t>Skill</w:t>
            </w:r>
          </w:p>
        </w:tc>
        <w:tc>
          <w:tcPr>
            <w:tcW w:type="dxa" w:w="1680"/>
            <w:shd w:fill="E8EEF5"/>
            <w:tcMar>
              <w:top w:w="80" w:type="dxa"/>
              <w:start w:w="120" w:type="dxa"/>
              <w:bottom w:w="80" w:type="dxa"/>
              <w:end w:w="120" w:type="dxa"/>
            </w:tcMar>
            <w:vAlign w:val="center"/>
          </w:tcPr>
          <w:p>
            <w:pPr>
              <w:keepLines/>
              <w:spacing w:after="0"/>
            </w:pPr>
            <w:r>
              <w:rPr>
                <w:b/>
                <w:color w:val="17365D"/>
                <w:sz w:val="18"/>
              </w:rPr>
              <w:t>When loaded</w:t>
            </w:r>
          </w:p>
        </w:tc>
        <w:tc>
          <w:tcPr>
            <w:tcW w:type="dxa" w:w="5580"/>
            <w:shd w:fill="E8EEF5"/>
            <w:tcMar>
              <w:top w:w="80" w:type="dxa"/>
              <w:start w:w="120" w:type="dxa"/>
              <w:bottom w:w="80" w:type="dxa"/>
              <w:end w:w="120" w:type="dxa"/>
            </w:tcMar>
            <w:vAlign w:val="center"/>
          </w:tcPr>
          <w:p>
            <w:pPr>
              <w:keepLines/>
              <w:spacing w:after="0"/>
            </w:pPr>
            <w:r>
              <w:rPr>
                <w:b/>
                <w:color w:val="17365D"/>
                <w:sz w:val="18"/>
              </w:rPr>
              <w:t>What it teaches the agent</w:t>
            </w:r>
          </w:p>
        </w:tc>
      </w:tr>
      <w:tr>
        <w:trPr>
          <w:cantSplit/>
        </w:trPr>
        <w:tc>
          <w:tcPr>
            <w:tcW w:type="dxa" w:w="2100"/>
            <w:tcMar>
              <w:top w:w="80" w:type="dxa"/>
              <w:start w:w="120" w:type="dxa"/>
              <w:bottom w:w="80" w:type="dxa"/>
              <w:end w:w="120" w:type="dxa"/>
            </w:tcMar>
            <w:vAlign w:val="center"/>
          </w:tcPr>
          <w:p>
            <w:pPr>
              <w:keepLines/>
              <w:spacing w:after="20" w:line="252" w:lineRule="auto"/>
            </w:pPr>
            <w:r>
              <w:rPr>
                <w:sz w:val="18"/>
              </w:rPr>
              <w:t>vp-extraction</w:t>
            </w:r>
          </w:p>
        </w:tc>
        <w:tc>
          <w:tcPr>
            <w:tcW w:type="dxa" w:w="1680"/>
            <w:tcMar>
              <w:top w:w="80" w:type="dxa"/>
              <w:start w:w="120" w:type="dxa"/>
              <w:bottom w:w="80" w:type="dxa"/>
              <w:end w:w="120" w:type="dxa"/>
            </w:tcMar>
            <w:vAlign w:val="center"/>
          </w:tcPr>
          <w:p>
            <w:pPr>
              <w:keepLines/>
              <w:spacing w:after="20" w:line="252" w:lineRule="auto"/>
            </w:pPr>
            <w:r>
              <w:rPr>
                <w:sz w:val="18"/>
              </w:rPr>
              <w:t>Every request</w:t>
            </w:r>
          </w:p>
        </w:tc>
        <w:tc>
          <w:tcPr>
            <w:tcW w:type="dxa" w:w="5580"/>
            <w:tcMar>
              <w:top w:w="80" w:type="dxa"/>
              <w:start w:w="120" w:type="dxa"/>
              <w:bottom w:w="80" w:type="dxa"/>
              <w:end w:w="120" w:type="dxa"/>
            </w:tcMar>
            <w:vAlign w:val="center"/>
          </w:tcPr>
          <w:p>
            <w:pPr>
              <w:keepLines/>
              <w:spacing w:after="20" w:line="252" w:lineRule="auto"/>
            </w:pPr>
            <w:r>
              <w:rPr>
                <w:sz w:val="18"/>
              </w:rPr>
              <w:t>How to decompose the sentence into KPI, domain, aggregate, filters, operator/value, and time intent.</w:t>
            </w:r>
          </w:p>
        </w:tc>
      </w:tr>
      <w:tr>
        <w:trPr>
          <w:cantSplit/>
        </w:trPr>
        <w:tc>
          <w:tcPr>
            <w:tcW w:type="dxa" w:w="2100"/>
            <w:tcMar>
              <w:top w:w="80" w:type="dxa"/>
              <w:start w:w="120" w:type="dxa"/>
              <w:bottom w:w="80" w:type="dxa"/>
              <w:end w:w="120" w:type="dxa"/>
            </w:tcMar>
            <w:vAlign w:val="center"/>
          </w:tcPr>
          <w:p>
            <w:pPr>
              <w:keepLines/>
              <w:spacing w:after="20" w:line="252" w:lineRule="auto"/>
            </w:pPr>
            <w:r>
              <w:rPr>
                <w:sz w:val="18"/>
              </w:rPr>
              <w:t>vp-rendering-rules</w:t>
            </w:r>
          </w:p>
        </w:tc>
        <w:tc>
          <w:tcPr>
            <w:tcW w:type="dxa" w:w="1680"/>
            <w:tcMar>
              <w:top w:w="80" w:type="dxa"/>
              <w:start w:w="120" w:type="dxa"/>
              <w:bottom w:w="80" w:type="dxa"/>
              <w:end w:w="120" w:type="dxa"/>
            </w:tcMar>
            <w:vAlign w:val="center"/>
          </w:tcPr>
          <w:p>
            <w:pPr>
              <w:keepLines/>
              <w:spacing w:after="20" w:line="252" w:lineRule="auto"/>
            </w:pPr>
            <w:r>
              <w:rPr>
                <w:sz w:val="18"/>
              </w:rPr>
              <w:t>Every request</w:t>
            </w:r>
          </w:p>
        </w:tc>
        <w:tc>
          <w:tcPr>
            <w:tcW w:type="dxa" w:w="5580"/>
            <w:tcMar>
              <w:top w:w="80" w:type="dxa"/>
              <w:start w:w="120" w:type="dxa"/>
              <w:bottom w:w="80" w:type="dxa"/>
              <w:end w:w="120" w:type="dxa"/>
            </w:tcMar>
            <w:vAlign w:val="center"/>
          </w:tcPr>
          <w:p>
            <w:pPr>
              <w:keepLines/>
              <w:spacing w:after="20" w:line="252" w:lineRule="auto"/>
            </w:pPr>
            <w:r>
              <w:rPr>
                <w:sz w:val="18"/>
              </w:rPr>
              <w:t>The rendering boundary, placeholder handling, filter placement, grammar invariants, and validation requirements.</w:t>
            </w:r>
          </w:p>
        </w:tc>
      </w:tr>
    </w:tbl>
    <w:p>
      <w:pPr>
        <w:spacing w:after="0"/>
      </w:pPr>
    </w:p>
    <w:p>
      <w:pPr>
        <w:pStyle w:val="Heading2"/>
      </w:pPr>
      <w:r>
        <w:t>4.2 Conditional skills</w:t>
      </w:r>
    </w:p>
    <w:tbl>
      <w:tblPr>
        <w:tblStyle w:val="TableGrid"/>
        <w:tblW w:type="dxa" w:w="9360"/>
        <w:jc w:val="center"/>
        <w:tblLayout w:type="fixed"/>
        <w:tblLook w:firstColumn="1" w:firstRow="1" w:lastColumn="0" w:lastRow="0" w:noHBand="0" w:noVBand="1" w:val="04A0"/>
        <w:tblInd w:w="120" w:type="dxa"/>
      </w:tblPr>
      <w:tblGrid>
        <w:gridCol w:w="2050"/>
        <w:gridCol w:w="2500"/>
        <w:gridCol w:w="4810"/>
      </w:tblGrid>
      <w:tr>
        <w:trPr>
          <w:tblHeader w:val="true"/>
          <w:cantSplit/>
        </w:trPr>
        <w:tc>
          <w:tcPr>
            <w:tcW w:type="dxa" w:w="2050"/>
            <w:shd w:fill="E8EEF5"/>
            <w:tcMar>
              <w:top w:w="80" w:type="dxa"/>
              <w:start w:w="120" w:type="dxa"/>
              <w:bottom w:w="80" w:type="dxa"/>
              <w:end w:w="120" w:type="dxa"/>
            </w:tcMar>
            <w:vAlign w:val="center"/>
          </w:tcPr>
          <w:p>
            <w:pPr>
              <w:keepLines/>
              <w:spacing w:after="0"/>
            </w:pPr>
            <w:r>
              <w:rPr>
                <w:b/>
                <w:color w:val="17365D"/>
                <w:sz w:val="17"/>
              </w:rPr>
              <w:t>Skill</w:t>
            </w:r>
          </w:p>
        </w:tc>
        <w:tc>
          <w:tcPr>
            <w:tcW w:type="dxa" w:w="2500"/>
            <w:shd w:fill="E8EEF5"/>
            <w:tcMar>
              <w:top w:w="80" w:type="dxa"/>
              <w:start w:w="120" w:type="dxa"/>
              <w:bottom w:w="80" w:type="dxa"/>
              <w:end w:w="120" w:type="dxa"/>
            </w:tcMar>
            <w:vAlign w:val="center"/>
          </w:tcPr>
          <w:p>
            <w:pPr>
              <w:keepLines/>
              <w:spacing w:after="0"/>
            </w:pPr>
            <w:r>
              <w:rPr>
                <w:b/>
                <w:color w:val="17365D"/>
                <w:sz w:val="17"/>
              </w:rPr>
              <w:t>Trigger</w:t>
            </w:r>
          </w:p>
        </w:tc>
        <w:tc>
          <w:tcPr>
            <w:tcW w:type="dxa" w:w="4810"/>
            <w:shd w:fill="E8EEF5"/>
            <w:tcMar>
              <w:top w:w="80" w:type="dxa"/>
              <w:start w:w="120" w:type="dxa"/>
              <w:bottom w:w="80" w:type="dxa"/>
              <w:end w:w="120" w:type="dxa"/>
            </w:tcMar>
            <w:vAlign w:val="center"/>
          </w:tcPr>
          <w:p>
            <w:pPr>
              <w:keepLines/>
              <w:spacing w:after="0"/>
            </w:pPr>
            <w:r>
              <w:rPr>
                <w:b/>
                <w:color w:val="17365D"/>
                <w:sz w:val="17"/>
              </w:rPr>
              <w:t>Purpose</w:t>
            </w:r>
          </w:p>
        </w:tc>
      </w:tr>
      <w:tr>
        <w:trPr>
          <w:cantSplit/>
        </w:trPr>
        <w:tc>
          <w:tcPr>
            <w:tcW w:type="dxa" w:w="2050"/>
            <w:tcMar>
              <w:top w:w="80" w:type="dxa"/>
              <w:start w:w="120" w:type="dxa"/>
              <w:bottom w:w="80" w:type="dxa"/>
              <w:end w:w="120" w:type="dxa"/>
            </w:tcMar>
            <w:vAlign w:val="center"/>
          </w:tcPr>
          <w:p>
            <w:pPr>
              <w:keepLines/>
              <w:spacing w:after="20" w:line="252" w:lineRule="auto"/>
            </w:pPr>
            <w:r>
              <w:rPr>
                <w:sz w:val="17"/>
              </w:rPr>
              <w:t>vp-disambiguation</w:t>
            </w:r>
          </w:p>
        </w:tc>
        <w:tc>
          <w:tcPr>
            <w:tcW w:type="dxa" w:w="2500"/>
            <w:tcMar>
              <w:top w:w="80" w:type="dxa"/>
              <w:start w:w="120" w:type="dxa"/>
              <w:bottom w:w="80" w:type="dxa"/>
              <w:end w:w="120" w:type="dxa"/>
            </w:tcMar>
            <w:vAlign w:val="center"/>
          </w:tcPr>
          <w:p>
            <w:pPr>
              <w:keepLines/>
              <w:spacing w:after="20" w:line="252" w:lineRule="auto"/>
            </w:pPr>
            <w:r>
              <w:rPr>
                <w:sz w:val="17"/>
              </w:rPr>
              <w:t>Meaning remains materially ambiguous</w:t>
            </w:r>
          </w:p>
        </w:tc>
        <w:tc>
          <w:tcPr>
            <w:tcW w:type="dxa" w:w="4810"/>
            <w:tcMar>
              <w:top w:w="80" w:type="dxa"/>
              <w:start w:w="120" w:type="dxa"/>
              <w:bottom w:w="80" w:type="dxa"/>
              <w:end w:w="120" w:type="dxa"/>
            </w:tcMar>
            <w:vAlign w:val="center"/>
          </w:tcPr>
          <w:p>
            <w:pPr>
              <w:keepLines/>
              <w:spacing w:after="20" w:line="252" w:lineRule="auto"/>
            </w:pPr>
            <w:r>
              <w:rPr>
                <w:sz w:val="17"/>
              </w:rPr>
              <w:t>Builds one batched, plain-English clarification without exposing internal schema names.</w:t>
            </w:r>
          </w:p>
        </w:tc>
      </w:tr>
      <w:tr>
        <w:trPr>
          <w:cantSplit/>
        </w:trPr>
        <w:tc>
          <w:tcPr>
            <w:tcW w:type="dxa" w:w="2050"/>
            <w:tcMar>
              <w:top w:w="80" w:type="dxa"/>
              <w:start w:w="120" w:type="dxa"/>
              <w:bottom w:w="80" w:type="dxa"/>
              <w:end w:w="120" w:type="dxa"/>
            </w:tcMar>
            <w:vAlign w:val="center"/>
          </w:tcPr>
          <w:p>
            <w:pPr>
              <w:keepLines/>
              <w:spacing w:after="20" w:line="252" w:lineRule="auto"/>
            </w:pPr>
            <w:r>
              <w:rPr>
                <w:sz w:val="17"/>
              </w:rPr>
              <w:t>vp-variant-selection</w:t>
            </w:r>
          </w:p>
        </w:tc>
        <w:tc>
          <w:tcPr>
            <w:tcW w:type="dxa" w:w="2500"/>
            <w:tcMar>
              <w:top w:w="80" w:type="dxa"/>
              <w:start w:w="120" w:type="dxa"/>
              <w:bottom w:w="80" w:type="dxa"/>
              <w:end w:w="120" w:type="dxa"/>
            </w:tcMar>
            <w:vAlign w:val="center"/>
          </w:tcPr>
          <w:p>
            <w:pPr>
              <w:keepLines/>
              <w:spacing w:after="20" w:line="252" w:lineRule="auto"/>
            </w:pPr>
            <w:r>
              <w:rPr>
                <w:sz w:val="17"/>
              </w:rPr>
              <w:t>A template/path must be chosen</w:t>
            </w:r>
          </w:p>
        </w:tc>
        <w:tc>
          <w:tcPr>
            <w:tcW w:type="dxa" w:w="4810"/>
            <w:tcMar>
              <w:top w:w="80" w:type="dxa"/>
              <w:start w:w="120" w:type="dxa"/>
              <w:bottom w:w="80" w:type="dxa"/>
              <w:end w:w="120" w:type="dxa"/>
            </w:tcMar>
            <w:vAlign w:val="center"/>
          </w:tcPr>
          <w:p>
            <w:pPr>
              <w:keepLines/>
              <w:spacing w:after="20" w:line="252" w:lineRule="auto"/>
            </w:pPr>
            <w:r>
              <w:rPr>
                <w:sz w:val="17"/>
              </w:rPr>
              <w:t>Selects Variant 1, 2, or 3 based on filters, tables, and period-comparison structure.</w:t>
            </w:r>
          </w:p>
        </w:tc>
      </w:tr>
      <w:tr>
        <w:trPr>
          <w:cantSplit/>
        </w:trPr>
        <w:tc>
          <w:tcPr>
            <w:tcW w:type="dxa" w:w="2050"/>
            <w:tcMar>
              <w:top w:w="80" w:type="dxa"/>
              <w:start w:w="120" w:type="dxa"/>
              <w:bottom w:w="80" w:type="dxa"/>
              <w:end w:w="120" w:type="dxa"/>
            </w:tcMar>
            <w:vAlign w:val="center"/>
          </w:tcPr>
          <w:p>
            <w:pPr>
              <w:keepLines/>
              <w:spacing w:after="20" w:line="252" w:lineRule="auto"/>
            </w:pPr>
            <w:r>
              <w:rPr>
                <w:sz w:val="17"/>
              </w:rPr>
              <w:t>vp-metrics-comparison</w:t>
            </w:r>
          </w:p>
        </w:tc>
        <w:tc>
          <w:tcPr>
            <w:tcW w:type="dxa" w:w="2500"/>
            <w:tcMar>
              <w:top w:w="80" w:type="dxa"/>
              <w:start w:w="120" w:type="dxa"/>
              <w:bottom w:w="80" w:type="dxa"/>
              <w:end w:w="120" w:type="dxa"/>
            </w:tcMar>
            <w:vAlign w:val="center"/>
          </w:tcPr>
          <w:p>
            <w:pPr>
              <w:keepLines/>
              <w:spacing w:after="20" w:line="252" w:lineRule="auto"/>
            </w:pPr>
            <w:r>
              <w:rPr>
                <w:sz w:val="17"/>
              </w:rPr>
              <w:t>Two periods or metrics are compared</w:t>
            </w:r>
          </w:p>
        </w:tc>
        <w:tc>
          <w:tcPr>
            <w:tcW w:type="dxa" w:w="4810"/>
            <w:tcMar>
              <w:top w:w="80" w:type="dxa"/>
              <w:start w:w="120" w:type="dxa"/>
              <w:bottom w:w="80" w:type="dxa"/>
              <w:end w:w="120" w:type="dxa"/>
            </w:tcMar>
            <w:vAlign w:val="center"/>
          </w:tcPr>
          <w:p>
            <w:pPr>
              <w:keepLines/>
              <w:spacing w:after="20" w:line="252" w:lineRule="auto"/>
            </w:pPr>
            <w:r>
              <w:rPr>
                <w:sz w:val="17"/>
              </w:rPr>
              <w:t>Guides paired operands, aligned periods, comparison operators, and arithmetic structure.</w:t>
            </w:r>
          </w:p>
        </w:tc>
      </w:tr>
      <w:tr>
        <w:trPr>
          <w:cantSplit/>
        </w:trPr>
        <w:tc>
          <w:tcPr>
            <w:tcW w:type="dxa" w:w="2050"/>
            <w:tcMar>
              <w:top w:w="80" w:type="dxa"/>
              <w:start w:w="120" w:type="dxa"/>
              <w:bottom w:w="80" w:type="dxa"/>
              <w:end w:w="120" w:type="dxa"/>
            </w:tcMar>
            <w:vAlign w:val="center"/>
          </w:tcPr>
          <w:p>
            <w:pPr>
              <w:keepLines/>
              <w:spacing w:after="20" w:line="252" w:lineRule="auto"/>
            </w:pPr>
            <w:r>
              <w:rPr>
                <w:sz w:val="17"/>
              </w:rPr>
              <w:t>vp-table-routing</w:t>
            </w:r>
          </w:p>
        </w:tc>
        <w:tc>
          <w:tcPr>
            <w:tcW w:type="dxa" w:w="2500"/>
            <w:tcMar>
              <w:top w:w="80" w:type="dxa"/>
              <w:start w:w="120" w:type="dxa"/>
              <w:bottom w:w="80" w:type="dxa"/>
              <w:end w:w="120" w:type="dxa"/>
            </w:tcMar>
            <w:vAlign w:val="center"/>
          </w:tcPr>
          <w:p>
            <w:pPr>
              <w:keepLines/>
              <w:spacing w:after="20" w:line="252" w:lineRule="auto"/>
            </w:pPr>
            <w:r>
              <w:rPr>
                <w:sz w:val="17"/>
              </w:rPr>
              <w:t>Candidates span groups or need a custom period</w:t>
            </w:r>
          </w:p>
        </w:tc>
        <w:tc>
          <w:tcPr>
            <w:tcW w:type="dxa" w:w="4810"/>
            <w:tcMar>
              <w:top w:w="80" w:type="dxa"/>
              <w:start w:w="120" w:type="dxa"/>
              <w:bottom w:w="80" w:type="dxa"/>
              <w:end w:w="120" w:type="dxa"/>
            </w:tcMar>
            <w:vAlign w:val="center"/>
          </w:tcPr>
          <w:p>
            <w:pPr>
              <w:keepLines/>
              <w:spacing w:after="20" w:line="252" w:lineRule="auto"/>
            </w:pPr>
            <w:r>
              <w:rPr>
                <w:sz w:val="17"/>
              </w:rPr>
              <w:t>Guides use of Customer 360 versus summary/event sources and the correct date-bearing group.</w:t>
            </w:r>
          </w:p>
        </w:tc>
      </w:tr>
      <w:tr>
        <w:trPr>
          <w:cantSplit/>
        </w:trPr>
        <w:tc>
          <w:tcPr>
            <w:tcW w:type="dxa" w:w="2050"/>
            <w:tcMar>
              <w:top w:w="80" w:type="dxa"/>
              <w:start w:w="120" w:type="dxa"/>
              <w:bottom w:w="80" w:type="dxa"/>
              <w:end w:w="120" w:type="dxa"/>
            </w:tcMar>
            <w:vAlign w:val="center"/>
          </w:tcPr>
          <w:p>
            <w:pPr>
              <w:keepLines/>
              <w:spacing w:after="20" w:line="252" w:lineRule="auto"/>
            </w:pPr>
            <w:r>
              <w:rPr>
                <w:sz w:val="17"/>
              </w:rPr>
              <w:t>vp-golden-examples</w:t>
            </w:r>
          </w:p>
        </w:tc>
        <w:tc>
          <w:tcPr>
            <w:tcW w:type="dxa" w:w="2500"/>
            <w:tcMar>
              <w:top w:w="80" w:type="dxa"/>
              <w:start w:w="120" w:type="dxa"/>
              <w:bottom w:w="80" w:type="dxa"/>
              <w:end w:w="120" w:type="dxa"/>
            </w:tcMar>
            <w:vAlign w:val="center"/>
          </w:tcPr>
          <w:p>
            <w:pPr>
              <w:keepLines/>
              <w:spacing w:after="20" w:line="252" w:lineRule="auto"/>
            </w:pPr>
            <w:r>
              <w:rPr>
                <w:sz w:val="17"/>
              </w:rPr>
              <w:t>A reviewed semantic precedent helps</w:t>
            </w:r>
          </w:p>
        </w:tc>
        <w:tc>
          <w:tcPr>
            <w:tcW w:type="dxa" w:w="4810"/>
            <w:tcMar>
              <w:top w:w="80" w:type="dxa"/>
              <w:start w:w="120" w:type="dxa"/>
              <w:bottom w:w="80" w:type="dxa"/>
              <w:end w:w="120" w:type="dxa"/>
            </w:tcMar>
            <w:vAlign w:val="center"/>
          </w:tcPr>
          <w:p>
            <w:pPr>
              <w:keepLines/>
              <w:spacing w:after="20" w:line="252" w:lineRule="auto"/>
            </w:pPr>
            <w:r>
              <w:rPr>
                <w:sz w:val="17"/>
              </w:rPr>
              <w:t>Provides compact, approved examples for resolver/verifier alignment; it is not a phrase switchboard.</w:t>
            </w:r>
          </w:p>
        </w:tc>
      </w:tr>
    </w:tbl>
    <w:p>
      <w:pPr>
        <w:spacing w:after="0"/>
      </w:pPr>
    </w:p>
    <w:p>
      <w:pPr>
        <w:pStyle w:val="Heading2"/>
      </w:pPr>
      <w:r>
        <w:t>4.3 Reference material loaded only when needed</w:t>
      </w:r>
    </w:p>
    <w:p>
      <w:pPr>
        <w:pStyle w:val="ListBullet"/>
      </w:pPr>
      <w:r>
        <w:t>Time-token cases and calendar semantics, such as bounded last-N-month ranges versus a specific month offset.</w:t>
      </w:r>
    </w:p>
    <w:p>
      <w:pPr>
        <w:pStyle w:val="ListBullet"/>
      </w:pPr>
      <w:r>
        <w:t>Predicate/operator catalog for consistent business comparisons.</w:t>
      </w:r>
    </w:p>
    <w:p>
      <w:pPr>
        <w:pStyle w:val="ListBullet"/>
      </w:pPr>
      <w:r>
        <w:t>Golden-case patterns and reviewed semantic precedents.</w:t>
      </w:r>
    </w:p>
    <w:p>
      <w:pPr>
        <w:pStyle w:val="ListBullet"/>
      </w:pPr>
      <w:r>
        <w:t>Group/date defaults and exceptional event-date overrides.</w:t>
      </w:r>
    </w:p>
    <w:p>
      <w:pPr>
        <w:pStyle w:val="ListBullet"/>
      </w:pPr>
      <w:r>
        <w:t>Variant 3 examples for multi-period arithmetic and comparisons.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CE"/>
            <w:tcBorders>
              <w:top w:val="single" w:sz="8" w:color="2E74B5"/>
              <w:start w:val="single" w:sz="16" w:color="2E74B5"/>
              <w:bottom w:val="single" w:sz="8" w:color="2E74B5"/>
              <w:end w:val="single" w:sz="8" w:color="2E74B5"/>
            </w:tcBorders>
          </w:tcPr>
          <w:p>
            <w:pPr>
              <w:pStyle w:val="Callout"/>
            </w:pPr>
            <w:r>
              <w:rPr>
                <w:b/>
              </w:rPr>
              <w:t xml:space="preserve">Configured group date defaults: </w:t>
            </w:r>
            <w:r>
              <w:t>Instant_cdr_group → FCT_DT; Common_Seg_Fct (Summary CDR) → COMMON_Event_date; Subscriptions → SUBSCRIPTIONS_DT; Recharge_Seg_Fct → RECHARGE_Event_Date; LIFECYCLE_CDR → L_SENT_DATE. SUBSCRIPTIONS_EVENT_DATE is reserved for renewal/cancellation semantics.</w:t>
            </w:r>
          </w:p>
        </w:tc>
      </w:tr>
    </w:tbl>
    <w:p>
      <w:pPr>
        <w:spacing w:after="0"/>
      </w:pPr>
    </w:p>
    <w:p>
      <w:pPr>
        <w:pStyle w:val="Heading1"/>
      </w:pPr>
      <w:r>
        <w:t>5. Tool loading and tool-call contract</w:t>
      </w:r>
    </w:p>
    <w:p>
      <w:r>
        <w:t>VP tool definitions are deferred to save prompt tokens. ToolSearch loads the required definitions by exact name. Once loaded, each tool call follows a consistent contract: compact input, compact operational output, agent interpretation, and a separate full audit record.</w:t>
      </w:r>
    </w:p>
    <w:p>
      <w:pPr>
        <w:pStyle w:val="ListNumber"/>
        <w:numPr>
          <w:ilvl w:val="0"/>
          <w:numId w:val="10"/>
        </w:numPr>
      </w:pPr>
      <w:r>
        <w:t>ToolSearch loads only the needed VP tool definitions.</w:t>
      </w:r>
    </w:p>
    <w:p>
      <w:pPr>
        <w:pStyle w:val="ListNumber"/>
        <w:numPr>
          <w:ilvl w:val="0"/>
          <w:numId w:val="10"/>
        </w:numPr>
      </w:pPr>
      <w:r>
        <w:t>The agent sends structured JSON input to the chosen tool.</w:t>
      </w:r>
    </w:p>
    <w:p>
      <w:pPr>
        <w:pStyle w:val="ListNumber"/>
        <w:numPr>
          <w:ilvl w:val="0"/>
          <w:numId w:val="10"/>
        </w:numPr>
      </w:pPr>
      <w:r>
        <w:t>The tool returns deterministic evidence or an enforced result.</w:t>
      </w:r>
    </w:p>
    <w:p>
      <w:pPr>
        <w:pStyle w:val="ListNumber"/>
        <w:numPr>
          <w:ilvl w:val="0"/>
          <w:numId w:val="10"/>
        </w:numPr>
      </w:pPr>
      <w:r>
        <w:t>Compact fields enter model context; complete rankings and internals go to Langfuse/request state.</w:t>
      </w:r>
    </w:p>
    <w:p>
      <w:pPr>
        <w:pStyle w:val="ListNumber"/>
        <w:numPr>
          <w:ilvl w:val="0"/>
          <w:numId w:val="10"/>
        </w:numPr>
      </w:pPr>
      <w:r>
        <w:t>The agent continues, retries, clarifies, or stops according to the tool’s authority.</w:t>
      </w:r>
    </w:p>
    <w:p>
      <w:pPr>
        <w:pStyle w:val="Heading2"/>
      </w:pPr>
      <w:r>
        <w:t>5.1 Active VP tools</w:t>
      </w:r>
    </w:p>
    <w:tbl>
      <w:tblPr>
        <w:tblStyle w:val="TableGrid"/>
        <w:tblW w:type="dxa" w:w="9360"/>
        <w:jc w:val="center"/>
        <w:tblLayout w:type="fixed"/>
        <w:tblLook w:firstColumn="1" w:firstRow="1" w:lastColumn="0" w:lastRow="0" w:noHBand="0" w:noVBand="1" w:val="04A0"/>
        <w:tblInd w:w="120" w:type="dxa"/>
      </w:tblPr>
      <w:tblGrid>
        <w:gridCol w:w="2100"/>
        <w:gridCol w:w="2300"/>
        <w:gridCol w:w="3000"/>
        <w:gridCol w:w="1960"/>
      </w:tblGrid>
      <w:tr>
        <w:trPr>
          <w:tblHeader w:val="true"/>
          <w:cantSplit/>
        </w:trPr>
        <w:tc>
          <w:tcPr>
            <w:tcW w:type="dxa" w:w="2100"/>
            <w:shd w:fill="E8EEF5"/>
            <w:tcMar>
              <w:top w:w="80" w:type="dxa"/>
              <w:start w:w="120" w:type="dxa"/>
              <w:bottom w:w="80" w:type="dxa"/>
              <w:end w:w="120" w:type="dxa"/>
            </w:tcMar>
            <w:vAlign w:val="center"/>
          </w:tcPr>
          <w:p>
            <w:pPr>
              <w:keepLines/>
              <w:spacing w:after="0"/>
            </w:pPr>
            <w:r>
              <w:rPr>
                <w:b/>
                <w:color w:val="17365D"/>
                <w:sz w:val="16"/>
              </w:rPr>
              <w:t>Tool</w:t>
            </w:r>
          </w:p>
        </w:tc>
        <w:tc>
          <w:tcPr>
            <w:tcW w:type="dxa" w:w="2300"/>
            <w:shd w:fill="E8EEF5"/>
            <w:tcMar>
              <w:top w:w="80" w:type="dxa"/>
              <w:start w:w="120" w:type="dxa"/>
              <w:bottom w:w="80" w:type="dxa"/>
              <w:end w:w="120" w:type="dxa"/>
            </w:tcMar>
            <w:vAlign w:val="center"/>
          </w:tcPr>
          <w:p>
            <w:pPr>
              <w:keepLines/>
              <w:spacing w:after="0"/>
            </w:pPr>
            <w:r>
              <w:rPr>
                <w:b/>
                <w:color w:val="17365D"/>
                <w:sz w:val="16"/>
              </w:rPr>
              <w:t>Typical input</w:t>
            </w:r>
          </w:p>
        </w:tc>
        <w:tc>
          <w:tcPr>
            <w:tcW w:type="dxa" w:w="3000"/>
            <w:shd w:fill="E8EEF5"/>
            <w:tcMar>
              <w:top w:w="80" w:type="dxa"/>
              <w:start w:w="120" w:type="dxa"/>
              <w:bottom w:w="80" w:type="dxa"/>
              <w:end w:w="120" w:type="dxa"/>
            </w:tcMar>
            <w:vAlign w:val="center"/>
          </w:tcPr>
          <w:p>
            <w:pPr>
              <w:keepLines/>
              <w:spacing w:after="0"/>
            </w:pPr>
            <w:r>
              <w:rPr>
                <w:b/>
                <w:color w:val="17365D"/>
                <w:sz w:val="16"/>
              </w:rPr>
              <w:t>Output used by agent</w:t>
            </w:r>
          </w:p>
        </w:tc>
        <w:tc>
          <w:tcPr>
            <w:tcW w:type="dxa" w:w="1960"/>
            <w:shd w:fill="E8EEF5"/>
            <w:tcMar>
              <w:top w:w="80" w:type="dxa"/>
              <w:start w:w="120" w:type="dxa"/>
              <w:bottom w:w="80" w:type="dxa"/>
              <w:end w:w="120" w:type="dxa"/>
            </w:tcMar>
            <w:vAlign w:val="center"/>
          </w:tcPr>
          <w:p>
            <w:pPr>
              <w:keepLines/>
              <w:spacing w:after="0"/>
            </w:pPr>
            <w:r>
              <w:rPr>
                <w:b/>
                <w:color w:val="17365D"/>
                <w:sz w:val="16"/>
              </w:rPr>
              <w:t>Authority</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normalize_slots</w:t>
            </w:r>
          </w:p>
        </w:tc>
        <w:tc>
          <w:tcPr>
            <w:tcW w:type="dxa" w:w="2300"/>
            <w:tcMar>
              <w:top w:w="80" w:type="dxa"/>
              <w:start w:w="120" w:type="dxa"/>
              <w:bottom w:w="80" w:type="dxa"/>
              <w:end w:w="120" w:type="dxa"/>
            </w:tcMar>
            <w:vAlign w:val="center"/>
          </w:tcPr>
          <w:p>
            <w:pPr>
              <w:keepLines/>
              <w:spacing w:after="20" w:line="252" w:lineRule="auto"/>
            </w:pPr>
            <w:r>
              <w:rPr>
                <w:sz w:val="16"/>
              </w:rPr>
              <w:t>client + sentence</w:t>
            </w:r>
          </w:p>
        </w:tc>
        <w:tc>
          <w:tcPr>
            <w:tcW w:type="dxa" w:w="3000"/>
            <w:tcMar>
              <w:top w:w="80" w:type="dxa"/>
              <w:start w:w="120" w:type="dxa"/>
              <w:bottom w:w="80" w:type="dxa"/>
              <w:end w:w="120" w:type="dxa"/>
            </w:tcMar>
            <w:vAlign w:val="center"/>
          </w:tcPr>
          <w:p>
            <w:pPr>
              <w:keepLines/>
              <w:spacing w:after="20" w:line="252" w:lineRule="auto"/>
            </w:pPr>
            <w:r>
              <w:rPr>
                <w:sz w:val="16"/>
              </w:rPr>
              <w:t>Initial slots, ambiguity flags, normalization warnings</w:t>
            </w:r>
          </w:p>
        </w:tc>
        <w:tc>
          <w:tcPr>
            <w:tcW w:type="dxa" w:w="1960"/>
            <w:tcMar>
              <w:top w:w="80" w:type="dxa"/>
              <w:start w:w="120" w:type="dxa"/>
              <w:bottom w:w="80" w:type="dxa"/>
              <w:end w:w="120" w:type="dxa"/>
            </w:tcMar>
            <w:vAlign w:val="center"/>
          </w:tcPr>
          <w:p>
            <w:pPr>
              <w:keepLines/>
              <w:spacing w:after="20" w:line="252" w:lineRule="auto"/>
            </w:pPr>
            <w:r>
              <w:rPr>
                <w:sz w:val="16"/>
              </w:rPr>
              <w:t>Evidence; agent may correct semantic misses</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retrieve_columns</w:t>
            </w:r>
          </w:p>
        </w:tc>
        <w:tc>
          <w:tcPr>
            <w:tcW w:type="dxa" w:w="2300"/>
            <w:tcMar>
              <w:top w:w="80" w:type="dxa"/>
              <w:start w:w="120" w:type="dxa"/>
              <w:bottom w:w="80" w:type="dxa"/>
              <w:end w:w="120" w:type="dxa"/>
            </w:tcMar>
            <w:vAlign w:val="center"/>
          </w:tcPr>
          <w:p>
            <w:pPr>
              <w:keepLines/>
              <w:spacing w:after="20" w:line="252" w:lineRule="auto"/>
            </w:pPr>
            <w:r>
              <w:rPr>
                <w:sz w:val="16"/>
              </w:rPr>
              <w:t>client + corrected slots in one batch</w:t>
            </w:r>
          </w:p>
        </w:tc>
        <w:tc>
          <w:tcPr>
            <w:tcW w:type="dxa" w:w="3000"/>
            <w:tcMar>
              <w:top w:w="80" w:type="dxa"/>
              <w:start w:w="120" w:type="dxa"/>
              <w:bottom w:w="80" w:type="dxa"/>
              <w:end w:w="120" w:type="dxa"/>
            </w:tcMar>
            <w:vAlign w:val="center"/>
          </w:tcPr>
          <w:p>
            <w:pPr>
              <w:keepLines/>
              <w:spacing w:after="20" w:line="252" w:lineRule="auto"/>
            </w:pPr>
            <w:r>
              <w:rPr>
                <w:sz w:val="16"/>
              </w:rPr>
              <w:t>Up to five compact candidates per role, scores, evidence, audit ID</w:t>
            </w:r>
          </w:p>
        </w:tc>
        <w:tc>
          <w:tcPr>
            <w:tcW w:type="dxa" w:w="1960"/>
            <w:tcMar>
              <w:top w:w="80" w:type="dxa"/>
              <w:start w:w="120" w:type="dxa"/>
              <w:bottom w:w="80" w:type="dxa"/>
              <w:end w:w="120" w:type="dxa"/>
            </w:tcMar>
            <w:vAlign w:val="center"/>
          </w:tcPr>
          <w:p>
            <w:pPr>
              <w:keepLines/>
              <w:spacing w:after="20" w:line="252" w:lineRule="auto"/>
            </w:pPr>
            <w:r>
              <w:rPr>
                <w:sz w:val="16"/>
              </w:rPr>
              <w:t>Evidence; full ranking remains out of context</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select_seed</w:t>
            </w:r>
          </w:p>
        </w:tc>
        <w:tc>
          <w:tcPr>
            <w:tcW w:type="dxa" w:w="2300"/>
            <w:tcMar>
              <w:top w:w="80" w:type="dxa"/>
              <w:start w:w="120" w:type="dxa"/>
              <w:bottom w:w="80" w:type="dxa"/>
              <w:end w:w="120" w:type="dxa"/>
            </w:tcMar>
            <w:vAlign w:val="center"/>
          </w:tcPr>
          <w:p>
            <w:pPr>
              <w:keepLines/>
              <w:spacing w:after="20" w:line="252" w:lineRule="auto"/>
            </w:pPr>
            <w:r>
              <w:rPr>
                <w:sz w:val="16"/>
              </w:rPr>
              <w:t>client + audit ID/slots; optional seed ID</w:t>
            </w:r>
          </w:p>
        </w:tc>
        <w:tc>
          <w:tcPr>
            <w:tcW w:type="dxa" w:w="3000"/>
            <w:tcMar>
              <w:top w:w="80" w:type="dxa"/>
              <w:start w:w="120" w:type="dxa"/>
              <w:bottom w:w="80" w:type="dxa"/>
              <w:end w:w="120" w:type="dxa"/>
            </w:tcMar>
            <w:vAlign w:val="center"/>
          </w:tcPr>
          <w:p>
            <w:pPr>
              <w:keepLines/>
              <w:spacing w:after="20" w:line="252" w:lineRule="auto"/>
            </w:pPr>
            <w:r>
              <w:rPr>
                <w:sz w:val="16"/>
              </w:rPr>
              <w:t>One complete selected seed + three compact alternatives</w:t>
            </w:r>
          </w:p>
        </w:tc>
        <w:tc>
          <w:tcPr>
            <w:tcW w:type="dxa" w:w="1960"/>
            <w:tcMar>
              <w:top w:w="80" w:type="dxa"/>
              <w:start w:w="120" w:type="dxa"/>
              <w:bottom w:w="80" w:type="dxa"/>
              <w:end w:w="120" w:type="dxa"/>
            </w:tcMar>
            <w:vAlign w:val="center"/>
          </w:tcPr>
          <w:p>
            <w:pPr>
              <w:keepLines/>
              <w:spacing w:after="20" w:line="252" w:lineRule="auto"/>
            </w:pPr>
            <w:r>
              <w:rPr>
                <w:sz w:val="16"/>
              </w:rPr>
              <w:t>Proposal; deterministic promotion is allowed</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retrieve_existing_vps</w:t>
            </w:r>
          </w:p>
        </w:tc>
        <w:tc>
          <w:tcPr>
            <w:tcW w:type="dxa" w:w="2300"/>
            <w:tcMar>
              <w:top w:w="80" w:type="dxa"/>
              <w:start w:w="120" w:type="dxa"/>
              <w:bottom w:w="80" w:type="dxa"/>
              <w:end w:w="120" w:type="dxa"/>
            </w:tcMar>
            <w:vAlign w:val="center"/>
          </w:tcPr>
          <w:p>
            <w:pPr>
              <w:keepLines/>
              <w:spacing w:after="20" w:line="252" w:lineRule="auto"/>
            </w:pPr>
            <w:r>
              <w:rPr>
                <w:sz w:val="16"/>
              </w:rPr>
              <w:t>comparison intent/columns</w:t>
            </w:r>
          </w:p>
        </w:tc>
        <w:tc>
          <w:tcPr>
            <w:tcW w:type="dxa" w:w="3000"/>
            <w:tcMar>
              <w:top w:w="80" w:type="dxa"/>
              <w:start w:w="120" w:type="dxa"/>
              <w:bottom w:w="80" w:type="dxa"/>
              <w:end w:w="120" w:type="dxa"/>
            </w:tcMar>
            <w:vAlign w:val="center"/>
          </w:tcPr>
          <w:p>
            <w:pPr>
              <w:keepLines/>
              <w:spacing w:after="20" w:line="252" w:lineRule="auto"/>
            </w:pPr>
            <w:r>
              <w:rPr>
                <w:sz w:val="16"/>
              </w:rPr>
              <w:t>Relevant historical VP conditions</w:t>
            </w:r>
          </w:p>
        </w:tc>
        <w:tc>
          <w:tcPr>
            <w:tcW w:type="dxa" w:w="1960"/>
            <w:tcMar>
              <w:top w:w="80" w:type="dxa"/>
              <w:start w:w="120" w:type="dxa"/>
              <w:bottom w:w="80" w:type="dxa"/>
              <w:end w:w="120" w:type="dxa"/>
            </w:tcMar>
            <w:vAlign w:val="center"/>
          </w:tcPr>
          <w:p>
            <w:pPr>
              <w:keepLines/>
              <w:spacing w:after="20" w:line="252" w:lineRule="auto"/>
            </w:pPr>
            <w:r>
              <w:rPr>
                <w:sz w:val="16"/>
              </w:rPr>
              <w:t>Evidence for complex Variant 3 structure</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record_resolution</w:t>
            </w:r>
          </w:p>
        </w:tc>
        <w:tc>
          <w:tcPr>
            <w:tcW w:type="dxa" w:w="2300"/>
            <w:tcMar>
              <w:top w:w="80" w:type="dxa"/>
              <w:start w:w="120" w:type="dxa"/>
              <w:bottom w:w="80" w:type="dxa"/>
              <w:end w:w="120" w:type="dxa"/>
            </w:tcMar>
            <w:vAlign w:val="center"/>
          </w:tcPr>
          <w:p>
            <w:pPr>
              <w:keepLines/>
              <w:spacing w:after="20" w:line="252" w:lineRule="auto"/>
            </w:pPr>
            <w:r>
              <w:rPr>
                <w:sz w:val="16"/>
              </w:rPr>
              <w:t>chosen columns, seed, path, slots, override</w:t>
            </w:r>
          </w:p>
        </w:tc>
        <w:tc>
          <w:tcPr>
            <w:tcW w:type="dxa" w:w="3000"/>
            <w:tcMar>
              <w:top w:w="80" w:type="dxa"/>
              <w:start w:w="120" w:type="dxa"/>
              <w:bottom w:w="80" w:type="dxa"/>
              <w:end w:w="120" w:type="dxa"/>
            </w:tcMar>
            <w:vAlign w:val="center"/>
          </w:tcPr>
          <w:p>
            <w:pPr>
              <w:keepLines/>
              <w:spacing w:after="20" w:line="252" w:lineRule="auto"/>
            </w:pPr>
            <w:r>
              <w:rPr>
                <w:sz w:val="16"/>
              </w:rPr>
              <w:t>Audit confirmation</w:t>
            </w:r>
          </w:p>
        </w:tc>
        <w:tc>
          <w:tcPr>
            <w:tcW w:type="dxa" w:w="1960"/>
            <w:tcMar>
              <w:top w:w="80" w:type="dxa"/>
              <w:start w:w="120" w:type="dxa"/>
              <w:bottom w:w="80" w:type="dxa"/>
              <w:end w:w="120" w:type="dxa"/>
            </w:tcMar>
            <w:vAlign w:val="center"/>
          </w:tcPr>
          <w:p>
            <w:pPr>
              <w:keepLines/>
              <w:spacing w:after="20" w:line="252" w:lineRule="auto"/>
            </w:pPr>
            <w:r>
              <w:rPr>
                <w:sz w:val="16"/>
              </w:rPr>
              <w:t>Records the decision; does not make it</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render_condition</w:t>
            </w:r>
          </w:p>
        </w:tc>
        <w:tc>
          <w:tcPr>
            <w:tcW w:type="dxa" w:w="2300"/>
            <w:tcMar>
              <w:top w:w="80" w:type="dxa"/>
              <w:start w:w="120" w:type="dxa"/>
              <w:bottom w:w="80" w:type="dxa"/>
              <w:end w:w="120" w:type="dxa"/>
            </w:tcMar>
            <w:vAlign w:val="center"/>
          </w:tcPr>
          <w:p>
            <w:pPr>
              <w:keepLines/>
              <w:spacing w:after="20" w:line="252" w:lineRule="auto"/>
            </w:pPr>
            <w:r>
              <w:rPr>
                <w:sz w:val="16"/>
              </w:rPr>
              <w:t>complete template + variables + filters</w:t>
            </w:r>
          </w:p>
        </w:tc>
        <w:tc>
          <w:tcPr>
            <w:tcW w:type="dxa" w:w="3000"/>
            <w:tcMar>
              <w:top w:w="80" w:type="dxa"/>
              <w:start w:w="120" w:type="dxa"/>
              <w:bottom w:w="80" w:type="dxa"/>
              <w:end w:w="120" w:type="dxa"/>
            </w:tcMar>
            <w:vAlign w:val="center"/>
          </w:tcPr>
          <w:p>
            <w:pPr>
              <w:keepLines/>
              <w:spacing w:after="20" w:line="252" w:lineRule="auto"/>
            </w:pPr>
            <w:r>
              <w:rPr>
                <w:sz w:val="16"/>
              </w:rPr>
              <w:t>Final PARENT_CONDITION syntax</w:t>
            </w:r>
          </w:p>
        </w:tc>
        <w:tc>
          <w:tcPr>
            <w:tcW w:type="dxa" w:w="1960"/>
            <w:tcMar>
              <w:top w:w="80" w:type="dxa"/>
              <w:start w:w="120" w:type="dxa"/>
              <w:bottom w:w="80" w:type="dxa"/>
              <w:end w:w="120" w:type="dxa"/>
            </w:tcMar>
            <w:vAlign w:val="center"/>
          </w:tcPr>
          <w:p>
            <w:pPr>
              <w:keepLines/>
              <w:spacing w:after="20" w:line="252" w:lineRule="auto"/>
            </w:pPr>
            <w:r>
              <w:rPr>
                <w:sz w:val="16"/>
              </w:rPr>
              <w:t>Exclusive syntax emitter</w:t>
            </w:r>
          </w:p>
        </w:tc>
      </w:tr>
      <w:tr>
        <w:trPr>
          <w:cantSplit/>
        </w:trPr>
        <w:tc>
          <w:tcPr>
            <w:tcW w:type="dxa" w:w="2100"/>
            <w:tcMar>
              <w:top w:w="80" w:type="dxa"/>
              <w:start w:w="120" w:type="dxa"/>
              <w:bottom w:w="80" w:type="dxa"/>
              <w:end w:w="120" w:type="dxa"/>
            </w:tcMar>
            <w:vAlign w:val="center"/>
          </w:tcPr>
          <w:p>
            <w:pPr>
              <w:keepLines/>
              <w:spacing w:after="20" w:line="252" w:lineRule="auto"/>
            </w:pPr>
            <w:r>
              <w:rPr>
                <w:sz w:val="16"/>
              </w:rPr>
              <w:t>validate_rule</w:t>
            </w:r>
          </w:p>
        </w:tc>
        <w:tc>
          <w:tcPr>
            <w:tcW w:type="dxa" w:w="2300"/>
            <w:tcMar>
              <w:top w:w="80" w:type="dxa"/>
              <w:start w:w="120" w:type="dxa"/>
              <w:bottom w:w="80" w:type="dxa"/>
              <w:end w:w="120" w:type="dxa"/>
            </w:tcMar>
            <w:vAlign w:val="center"/>
          </w:tcPr>
          <w:p>
            <w:pPr>
              <w:keepLines/>
              <w:spacing w:after="20" w:line="252" w:lineRule="auto"/>
            </w:pPr>
            <w:r>
              <w:rPr>
                <w:sz w:val="16"/>
              </w:rPr>
              <w:t>rule + request + table</w:t>
            </w:r>
          </w:p>
        </w:tc>
        <w:tc>
          <w:tcPr>
            <w:tcW w:type="dxa" w:w="3000"/>
            <w:tcMar>
              <w:top w:w="80" w:type="dxa"/>
              <w:start w:w="120" w:type="dxa"/>
              <w:bottom w:w="80" w:type="dxa"/>
              <w:end w:w="120" w:type="dxa"/>
            </w:tcMar>
            <w:vAlign w:val="center"/>
          </w:tcPr>
          <w:p>
            <w:pPr>
              <w:keepLines/>
              <w:spacing w:after="20" w:line="252" w:lineRule="auto"/>
            </w:pPr>
            <w:r>
              <w:rPr>
                <w:sz w:val="16"/>
              </w:rPr>
              <w:t>ok/errors/warnings/referenced columns</w:t>
            </w:r>
          </w:p>
        </w:tc>
        <w:tc>
          <w:tcPr>
            <w:tcW w:type="dxa" w:w="1960"/>
            <w:tcMar>
              <w:top w:w="80" w:type="dxa"/>
              <w:start w:w="120" w:type="dxa"/>
              <w:bottom w:w="80" w:type="dxa"/>
              <w:end w:w="120" w:type="dxa"/>
            </w:tcMar>
            <w:vAlign w:val="center"/>
          </w:tcPr>
          <w:p>
            <w:pPr>
              <w:keepLines/>
              <w:spacing w:after="20" w:line="252" w:lineRule="auto"/>
            </w:pPr>
            <w:r>
              <w:rPr>
                <w:sz w:val="16"/>
              </w:rPr>
              <w:t>Deterministic acceptance gate</w:t>
            </w:r>
          </w:p>
        </w:tc>
      </w:tr>
    </w:tbl>
    <w:p>
      <w:pPr>
        <w:spacing w:after="0"/>
      </w:pPr>
    </w:p>
    <w:p>
      <w:pPr>
        <w:pStyle w:val="Heading2"/>
      </w:pPr>
      <w:r>
        <w:t>5.2 Supporting platform capabilities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keepLines/>
              <w:spacing w:after="0"/>
            </w:pPr>
            <w:r>
              <w:rPr>
                <w:b/>
                <w:color w:val="17365D"/>
                <w:sz w:val="18"/>
              </w:rPr>
              <w:t>Capability</w:t>
            </w:r>
          </w:p>
        </w:tc>
        <w:tc>
          <w:tcPr>
            <w:tcW w:type="dxa" w:w="7460"/>
            <w:shd w:fill="E8EEF5"/>
            <w:tcMar>
              <w:top w:w="80" w:type="dxa"/>
              <w:start w:w="120" w:type="dxa"/>
              <w:bottom w:w="80" w:type="dxa"/>
              <w:end w:w="120" w:type="dxa"/>
            </w:tcMar>
            <w:vAlign w:val="center"/>
          </w:tcPr>
          <w:p>
            <w:pPr>
              <w:keepLines/>
              <w:spacing w:after="0"/>
            </w:pPr>
            <w:r>
              <w:rPr>
                <w:b/>
                <w:color w:val="17365D"/>
                <w:sz w:val="18"/>
              </w:rPr>
              <w:t>Function</w:t>
            </w:r>
          </w:p>
        </w:tc>
      </w:tr>
      <w:tr>
        <w:trPr>
          <w:cantSplit/>
        </w:trPr>
        <w:tc>
          <w:tcPr>
            <w:tcW w:type="dxa" w:w="1900"/>
            <w:tcMar>
              <w:top w:w="80" w:type="dxa"/>
              <w:start w:w="120" w:type="dxa"/>
              <w:bottom w:w="80" w:type="dxa"/>
              <w:end w:w="120" w:type="dxa"/>
            </w:tcMar>
            <w:vAlign w:val="center"/>
          </w:tcPr>
          <w:p>
            <w:pPr>
              <w:keepLines/>
              <w:spacing w:after="20" w:line="252" w:lineRule="auto"/>
            </w:pPr>
            <w:r>
              <w:rPr>
                <w:sz w:val="18"/>
              </w:rPr>
              <w:t>Skill</w:t>
            </w:r>
          </w:p>
        </w:tc>
        <w:tc>
          <w:tcPr>
            <w:tcW w:type="dxa" w:w="7460"/>
            <w:tcMar>
              <w:top w:w="80" w:type="dxa"/>
              <w:start w:w="120" w:type="dxa"/>
              <w:bottom w:w="80" w:type="dxa"/>
              <w:end w:w="120" w:type="dxa"/>
            </w:tcMar>
            <w:vAlign w:val="center"/>
          </w:tcPr>
          <w:p>
            <w:pPr>
              <w:keepLines/>
              <w:spacing w:after="20" w:line="252" w:lineRule="auto"/>
            </w:pPr>
            <w:r>
              <w:rPr>
                <w:sz w:val="18"/>
              </w:rPr>
              <w:t>Loads procedural guidance for the current reasoning stage.</w:t>
            </w:r>
          </w:p>
        </w:tc>
      </w:tr>
      <w:tr>
        <w:trPr>
          <w:cantSplit/>
        </w:trPr>
        <w:tc>
          <w:tcPr>
            <w:tcW w:type="dxa" w:w="1900"/>
            <w:tcMar>
              <w:top w:w="80" w:type="dxa"/>
              <w:start w:w="120" w:type="dxa"/>
              <w:bottom w:w="80" w:type="dxa"/>
              <w:end w:w="120" w:type="dxa"/>
            </w:tcMar>
            <w:vAlign w:val="center"/>
          </w:tcPr>
          <w:p>
            <w:pPr>
              <w:keepLines/>
              <w:spacing w:after="20" w:line="252" w:lineRule="auto"/>
            </w:pPr>
            <w:r>
              <w:rPr>
                <w:sz w:val="18"/>
              </w:rPr>
              <w:t>Read</w:t>
            </w:r>
          </w:p>
        </w:tc>
        <w:tc>
          <w:tcPr>
            <w:tcW w:type="dxa" w:w="7460"/>
            <w:tcMar>
              <w:top w:w="80" w:type="dxa"/>
              <w:start w:w="120" w:type="dxa"/>
              <w:bottom w:w="80" w:type="dxa"/>
              <w:end w:w="120" w:type="dxa"/>
            </w:tcMar>
            <w:vAlign w:val="center"/>
          </w:tcPr>
          <w:p>
            <w:pPr>
              <w:keepLines/>
              <w:spacing w:after="20" w:line="252" w:lineRule="auto"/>
            </w:pPr>
            <w:r>
              <w:rPr>
                <w:sz w:val="18"/>
              </w:rPr>
              <w:t>Opens a targeted reference only when the skill directs the agent to it.</w:t>
            </w:r>
          </w:p>
        </w:tc>
      </w:tr>
      <w:tr>
        <w:trPr>
          <w:cantSplit/>
        </w:trPr>
        <w:tc>
          <w:tcPr>
            <w:tcW w:type="dxa" w:w="1900"/>
            <w:tcMar>
              <w:top w:w="80" w:type="dxa"/>
              <w:start w:w="120" w:type="dxa"/>
              <w:bottom w:w="80" w:type="dxa"/>
              <w:end w:w="120" w:type="dxa"/>
            </w:tcMar>
            <w:vAlign w:val="center"/>
          </w:tcPr>
          <w:p>
            <w:pPr>
              <w:keepLines/>
              <w:spacing w:after="20" w:line="252" w:lineRule="auto"/>
            </w:pPr>
            <w:r>
              <w:rPr>
                <w:sz w:val="18"/>
              </w:rPr>
              <w:t>ToolSearch</w:t>
            </w:r>
          </w:p>
        </w:tc>
        <w:tc>
          <w:tcPr>
            <w:tcW w:type="dxa" w:w="7460"/>
            <w:tcMar>
              <w:top w:w="80" w:type="dxa"/>
              <w:start w:w="120" w:type="dxa"/>
              <w:bottom w:w="80" w:type="dxa"/>
              <w:end w:w="120" w:type="dxa"/>
            </w:tcMar>
            <w:vAlign w:val="center"/>
          </w:tcPr>
          <w:p>
            <w:pPr>
              <w:keepLines/>
              <w:spacing w:after="20" w:line="252" w:lineRule="auto"/>
            </w:pPr>
            <w:r>
              <w:rPr>
                <w:sz w:val="18"/>
              </w:rPr>
              <w:t>Loads deferred tool definitions instead of placing every schema in the initial context.</w:t>
            </w:r>
          </w:p>
        </w:tc>
      </w:tr>
      <w:tr>
        <w:trPr>
          <w:cantSplit/>
        </w:trPr>
        <w:tc>
          <w:tcPr>
            <w:tcW w:type="dxa" w:w="1900"/>
            <w:tcMar>
              <w:top w:w="80" w:type="dxa"/>
              <w:start w:w="120" w:type="dxa"/>
              <w:bottom w:w="80" w:type="dxa"/>
              <w:end w:w="120" w:type="dxa"/>
            </w:tcMar>
            <w:vAlign w:val="center"/>
          </w:tcPr>
          <w:p>
            <w:pPr>
              <w:keepLines/>
              <w:spacing w:after="20" w:line="252" w:lineRule="auto"/>
            </w:pPr>
            <w:r>
              <w:rPr>
                <w:sz w:val="18"/>
              </w:rPr>
              <w:t>Agent/verifier</w:t>
            </w:r>
          </w:p>
        </w:tc>
        <w:tc>
          <w:tcPr>
            <w:tcW w:type="dxa" w:w="7460"/>
            <w:tcMar>
              <w:top w:w="80" w:type="dxa"/>
              <w:start w:w="120" w:type="dxa"/>
              <w:bottom w:w="80" w:type="dxa"/>
              <w:end w:w="120" w:type="dxa"/>
            </w:tcMar>
            <w:vAlign w:val="center"/>
          </w:tcPr>
          <w:p>
            <w:pPr>
              <w:keepLines/>
              <w:spacing w:after="20" w:line="252" w:lineRule="auto"/>
            </w:pPr>
            <w:r>
              <w:rPr>
                <w:sz w:val="18"/>
              </w:rPr>
              <w:t>Optional for low-confidence cases; required for Variant 3 period comparisons before final acceptance.</w:t>
            </w:r>
          </w:p>
        </w:tc>
      </w:tr>
    </w:tbl>
    <w:p>
      <w:pPr>
        <w:spacing w:after="0"/>
      </w:pPr>
    </w:p>
    <w:p>
      <w:pPr>
        <w:pStyle w:val="Heading1"/>
      </w:pPr>
      <w:r>
        <w:t>6. Context versus audit data</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keepLines/>
              <w:spacing w:after="0"/>
            </w:pPr>
            <w:r>
              <w:rPr>
                <w:b/>
                <w:color w:val="17365D"/>
                <w:sz w:val="17"/>
              </w:rPr>
              <w:t>Model context: compact operational view</w:t>
            </w:r>
          </w:p>
        </w:tc>
        <w:tc>
          <w:tcPr>
            <w:tcW w:type="dxa" w:w="4680"/>
            <w:shd w:fill="E8EEF5"/>
            <w:tcMar>
              <w:top w:w="80" w:type="dxa"/>
              <w:start w:w="120" w:type="dxa"/>
              <w:bottom w:w="80" w:type="dxa"/>
              <w:end w:w="120" w:type="dxa"/>
            </w:tcMar>
            <w:vAlign w:val="center"/>
          </w:tcPr>
          <w:p>
            <w:pPr>
              <w:keepLines/>
              <w:spacing w:after="0"/>
            </w:pPr>
            <w:r>
              <w:rPr>
                <w:b/>
                <w:color w:val="17365D"/>
                <w:sz w:val="17"/>
              </w:rPr>
              <w:t>Langfuse/request state: complete audit view</w:t>
            </w:r>
          </w:p>
        </w:tc>
      </w:tr>
      <w:tr>
        <w:trPr>
          <w:cantSplit/>
        </w:trPr>
        <w:tc>
          <w:tcPr>
            <w:tcW w:type="dxa" w:w="4680"/>
            <w:tcMar>
              <w:top w:w="80" w:type="dxa"/>
              <w:start w:w="120" w:type="dxa"/>
              <w:bottom w:w="80" w:type="dxa"/>
              <w:end w:w="120" w:type="dxa"/>
            </w:tcMar>
            <w:vAlign w:val="center"/>
          </w:tcPr>
          <w:p>
            <w:pPr>
              <w:keepLines/>
              <w:spacing w:after="20" w:line="252" w:lineRule="auto"/>
            </w:pPr>
            <w:r>
              <w:rPr>
                <w:sz w:val="17"/>
              </w:rPr>
              <w:t>Top candidates by role: feature name, group, type, short description, time-window support, score, concise evidence.</w:t>
            </w:r>
          </w:p>
        </w:tc>
        <w:tc>
          <w:tcPr>
            <w:tcW w:type="dxa" w:w="4680"/>
            <w:tcMar>
              <w:top w:w="80" w:type="dxa"/>
              <w:start w:w="120" w:type="dxa"/>
              <w:bottom w:w="80" w:type="dxa"/>
              <w:end w:w="120" w:type="dxa"/>
            </w:tcMar>
            <w:vAlign w:val="center"/>
          </w:tcPr>
          <w:p>
            <w:pPr>
              <w:keepLines/>
              <w:spacing w:after="20" w:line="252" w:lineRule="auto"/>
            </w:pPr>
            <w:r>
              <w:rPr>
                <w:sz w:val="17"/>
              </w:rPr>
              <w:t>Full BM25, embedding, semantic, metadata, prior, and hybrid rankings with all candidates.</w:t>
            </w:r>
          </w:p>
        </w:tc>
      </w:tr>
      <w:tr>
        <w:trPr>
          <w:cantSplit/>
        </w:trPr>
        <w:tc>
          <w:tcPr>
            <w:tcW w:type="dxa" w:w="4680"/>
            <w:tcMar>
              <w:top w:w="80" w:type="dxa"/>
              <w:start w:w="120" w:type="dxa"/>
              <w:bottom w:w="80" w:type="dxa"/>
              <w:end w:w="120" w:type="dxa"/>
            </w:tcMar>
            <w:vAlign w:val="center"/>
          </w:tcPr>
          <w:p>
            <w:pPr>
              <w:keepLines/>
              <w:spacing w:after="20" w:line="252" w:lineRule="auto"/>
            </w:pPr>
            <w:r>
              <w:rPr>
                <w:sz w:val="17"/>
              </w:rPr>
              <w:t>One complete selected seed and three compact alternatives.</w:t>
            </w:r>
          </w:p>
        </w:tc>
        <w:tc>
          <w:tcPr>
            <w:tcW w:type="dxa" w:w="4680"/>
            <w:tcMar>
              <w:top w:w="80" w:type="dxa"/>
              <w:start w:w="120" w:type="dxa"/>
              <w:bottom w:w="80" w:type="dxa"/>
              <w:end w:w="120" w:type="dxa"/>
            </w:tcMar>
            <w:vAlign w:val="center"/>
          </w:tcPr>
          <w:p>
            <w:pPr>
              <w:keepLines/>
              <w:spacing w:after="20" w:line="252" w:lineRule="auto"/>
            </w:pPr>
            <w:r>
              <w:rPr>
                <w:sz w:val="17"/>
              </w:rPr>
              <w:t>Full seed ranking, signatures, confidence components, proposal/override history.</w:t>
            </w:r>
          </w:p>
        </w:tc>
      </w:tr>
      <w:tr>
        <w:trPr>
          <w:cantSplit/>
        </w:trPr>
        <w:tc>
          <w:tcPr>
            <w:tcW w:type="dxa" w:w="4680"/>
            <w:tcMar>
              <w:top w:w="80" w:type="dxa"/>
              <w:start w:w="120" w:type="dxa"/>
              <w:bottom w:w="80" w:type="dxa"/>
              <w:end w:w="120" w:type="dxa"/>
            </w:tcMar>
            <w:vAlign w:val="center"/>
          </w:tcPr>
          <w:p>
            <w:pPr>
              <w:keepLines/>
              <w:spacing w:after="20" w:line="252" w:lineRule="auto"/>
            </w:pPr>
            <w:r>
              <w:rPr>
                <w:sz w:val="17"/>
              </w:rPr>
              <w:t>Current resolution state and validation result.</w:t>
            </w:r>
          </w:p>
        </w:tc>
        <w:tc>
          <w:tcPr>
            <w:tcW w:type="dxa" w:w="4680"/>
            <w:tcMar>
              <w:top w:w="80" w:type="dxa"/>
              <w:start w:w="120" w:type="dxa"/>
              <w:bottom w:w="80" w:type="dxa"/>
              <w:end w:w="120" w:type="dxa"/>
            </w:tcMar>
            <w:vAlign w:val="center"/>
          </w:tcPr>
          <w:p>
            <w:pPr>
              <w:keepLines/>
              <w:spacing w:after="20" w:line="252" w:lineRule="auto"/>
            </w:pPr>
            <w:r>
              <w:rPr>
                <w:sz w:val="17"/>
              </w:rPr>
              <w:t>Every skill/tool call, input/output, latency, token usage, model cost, request ID, and final response.</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4EA"/>
            <w:tcBorders>
              <w:top w:val="single" w:sz="8" w:color="2E74B5"/>
              <w:start w:val="single" w:sz="16" w:color="2E74B5"/>
              <w:bottom w:val="single" w:sz="8" w:color="2E74B5"/>
              <w:end w:val="single" w:sz="8" w:color="2E74B5"/>
            </w:tcBorders>
          </w:tcPr>
          <w:p>
            <w:pPr>
              <w:pStyle w:val="Callout"/>
            </w:pPr>
            <w:r>
              <w:rPr>
                <w:b/>
              </w:rPr>
              <w:t xml:space="preserve">Why this matters: </w:t>
            </w:r>
            <w:r>
              <w:t>Token reduction comes from removing diagnostic detail from the reasoning context—not from removing evidence or auditability. If confidence is low or group coverage is missing, the agent deterministically expands retrieval.</w:t>
            </w:r>
          </w:p>
        </w:tc>
      </w:tr>
    </w:tbl>
    <w:p>
      <w:pPr>
        <w:spacing w:after="0"/>
      </w:pPr>
    </w:p>
    <w:p>
      <w:r>
        <w:br w:type="page"/>
      </w:r>
    </w:p>
    <w:p>
      <w:pPr>
        <w:pStyle w:val="Heading1"/>
      </w:pPr>
      <w:r>
        <w:t>7. Worked example — real Omantel request</w:t>
      </w:r>
    </w:p>
    <w:p>
      <w:r>
        <w:t>This example is taken from the optimized 34-case regression run and its corrected Langfuse export. It shows a useful property of the architecture: the first deterministic suggestion can be imperfect, while the final result remains correct because evidence, semantic reasoning, rendering, and validation have separate responsibilities.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keepLines/>
              <w:spacing w:after="0"/>
            </w:pPr>
            <w:r>
              <w:rPr>
                <w:b/>
                <w:color w:val="17365D"/>
                <w:sz w:val="18"/>
              </w:rPr>
              <w:t>Field</w:t>
            </w:r>
          </w:p>
        </w:tc>
        <w:tc>
          <w:tcPr>
            <w:tcW w:type="dxa" w:w="7560"/>
            <w:shd w:fill="E8EEF5"/>
            <w:tcMar>
              <w:top w:w="80" w:type="dxa"/>
              <w:start w:w="120" w:type="dxa"/>
              <w:bottom w:w="80" w:type="dxa"/>
              <w:end w:w="120" w:type="dxa"/>
            </w:tcMar>
            <w:vAlign w:val="center"/>
          </w:tcPr>
          <w:p>
            <w:pPr>
              <w:keepLines/>
              <w:spacing w:after="0"/>
            </w:pPr>
            <w:r>
              <w:rPr>
                <w:b/>
                <w:color w:val="17365D"/>
                <w:sz w:val="18"/>
              </w:rPr>
              <w:t>Value</w:t>
            </w:r>
          </w:p>
        </w:tc>
      </w:tr>
      <w:tr>
        <w:trPr>
          <w:cantSplit/>
        </w:trPr>
        <w:tc>
          <w:tcPr>
            <w:tcW w:type="dxa" w:w="1800"/>
            <w:tcMar>
              <w:top w:w="80" w:type="dxa"/>
              <w:start w:w="120" w:type="dxa"/>
              <w:bottom w:w="80" w:type="dxa"/>
              <w:end w:w="120" w:type="dxa"/>
            </w:tcMar>
            <w:vAlign w:val="center"/>
          </w:tcPr>
          <w:p>
            <w:pPr>
              <w:keepLines/>
              <w:spacing w:after="20" w:line="252" w:lineRule="auto"/>
            </w:pPr>
            <w:r>
              <w:rPr>
                <w:sz w:val="18"/>
              </w:rPr>
              <w:t>Client</w:t>
            </w:r>
          </w:p>
        </w:tc>
        <w:tc>
          <w:tcPr>
            <w:tcW w:type="dxa" w:w="7560"/>
            <w:tcMar>
              <w:top w:w="80" w:type="dxa"/>
              <w:start w:w="120" w:type="dxa"/>
              <w:bottom w:w="80" w:type="dxa"/>
              <w:end w:w="120" w:type="dxa"/>
            </w:tcMar>
            <w:vAlign w:val="center"/>
          </w:tcPr>
          <w:p>
            <w:pPr>
              <w:keepLines/>
              <w:spacing w:after="20" w:line="252" w:lineRule="auto"/>
            </w:pPr>
            <w:r>
              <w:rPr>
                <w:sz w:val="18"/>
              </w:rPr>
              <w:t>omantel</w:t>
            </w:r>
          </w:p>
        </w:tc>
      </w:tr>
      <w:tr>
        <w:trPr>
          <w:cantSplit/>
        </w:trPr>
        <w:tc>
          <w:tcPr>
            <w:tcW w:type="dxa" w:w="1800"/>
            <w:tcMar>
              <w:top w:w="80" w:type="dxa"/>
              <w:start w:w="120" w:type="dxa"/>
              <w:bottom w:w="80" w:type="dxa"/>
              <w:end w:w="120" w:type="dxa"/>
            </w:tcMar>
            <w:vAlign w:val="center"/>
          </w:tcPr>
          <w:p>
            <w:pPr>
              <w:keepLines/>
              <w:spacing w:after="20" w:line="252" w:lineRule="auto"/>
            </w:pPr>
            <w:r>
              <w:rPr>
                <w:sz w:val="18"/>
              </w:rPr>
              <w:t>Request ID</w:t>
            </w:r>
          </w:p>
        </w:tc>
        <w:tc>
          <w:tcPr>
            <w:tcW w:type="dxa" w:w="7560"/>
            <w:tcMar>
              <w:top w:w="80" w:type="dxa"/>
              <w:start w:w="120" w:type="dxa"/>
              <w:bottom w:w="80" w:type="dxa"/>
              <w:end w:w="120" w:type="dxa"/>
            </w:tcMar>
            <w:vAlign w:val="center"/>
          </w:tcPr>
          <w:p>
            <w:pPr>
              <w:keepLines/>
              <w:spacing w:after="20" w:line="252" w:lineRule="auto"/>
            </w:pPr>
            <w:r>
              <w:rPr>
                <w:sz w:val="18"/>
              </w:rPr>
              <w:t>32e2594fe7</w:t>
            </w:r>
          </w:p>
        </w:tc>
      </w:tr>
      <w:tr>
        <w:trPr>
          <w:cantSplit/>
        </w:trPr>
        <w:tc>
          <w:tcPr>
            <w:tcW w:type="dxa" w:w="1800"/>
            <w:tcMar>
              <w:top w:w="80" w:type="dxa"/>
              <w:start w:w="120" w:type="dxa"/>
              <w:bottom w:w="80" w:type="dxa"/>
              <w:end w:w="120" w:type="dxa"/>
            </w:tcMar>
            <w:vAlign w:val="center"/>
          </w:tcPr>
          <w:p>
            <w:pPr>
              <w:keepLines/>
              <w:spacing w:after="20" w:line="252" w:lineRule="auto"/>
            </w:pPr>
            <w:r>
              <w:rPr>
                <w:sz w:val="18"/>
              </w:rPr>
              <w:t>Sentence</w:t>
            </w:r>
          </w:p>
        </w:tc>
        <w:tc>
          <w:tcPr>
            <w:tcW w:type="dxa" w:w="7560"/>
            <w:tcMar>
              <w:top w:w="80" w:type="dxa"/>
              <w:start w:w="120" w:type="dxa"/>
              <w:bottom w:w="80" w:type="dxa"/>
              <w:end w:w="120" w:type="dxa"/>
            </w:tcMar>
            <w:vAlign w:val="center"/>
          </w:tcPr>
          <w:p>
            <w:pPr>
              <w:keepLines/>
              <w:spacing w:after="20" w:line="252" w:lineRule="auto"/>
            </w:pPr>
            <w:r>
              <w:rPr>
                <w:sz w:val="18"/>
              </w:rPr>
              <w:t>Total pay-as-you-go data used on the local network by smartphone users over last 3 months</w:t>
            </w:r>
          </w:p>
        </w:tc>
      </w:tr>
      <w:tr>
        <w:trPr>
          <w:cantSplit/>
        </w:trPr>
        <w:tc>
          <w:tcPr>
            <w:tcW w:type="dxa" w:w="1800"/>
            <w:tcMar>
              <w:top w:w="80" w:type="dxa"/>
              <w:start w:w="120" w:type="dxa"/>
              <w:bottom w:w="80" w:type="dxa"/>
              <w:end w:w="120" w:type="dxa"/>
            </w:tcMar>
            <w:vAlign w:val="center"/>
          </w:tcPr>
          <w:p>
            <w:pPr>
              <w:keepLines/>
              <w:spacing w:after="20" w:line="252" w:lineRule="auto"/>
            </w:pPr>
            <w:r>
              <w:rPr>
                <w:sz w:val="18"/>
              </w:rPr>
              <w:t>Expected meaning</w:t>
            </w:r>
          </w:p>
        </w:tc>
        <w:tc>
          <w:tcPr>
            <w:tcW w:type="dxa" w:w="7560"/>
            <w:tcMar>
              <w:top w:w="80" w:type="dxa"/>
              <w:start w:w="120" w:type="dxa"/>
              <w:bottom w:w="80" w:type="dxa"/>
              <w:end w:w="120" w:type="dxa"/>
            </w:tcMar>
            <w:vAlign w:val="center"/>
          </w:tcPr>
          <w:p>
            <w:pPr>
              <w:keepLines/>
              <w:spacing w:after="20" w:line="252" w:lineRule="auto"/>
            </w:pPr>
            <w:r>
              <w:rPr>
                <w:sz w:val="18"/>
              </w:rPr>
              <w:t>SUM of local PAYG data volume, smartphone filter, bounded previous three complete months</w:t>
            </w:r>
          </w:p>
        </w:tc>
      </w:tr>
    </w:tbl>
    <w:p>
      <w:pPr>
        <w:spacing w:after="0"/>
      </w:pPr>
    </w:p>
    <w:p>
      <w:pPr>
        <w:pStyle w:val="Heading2"/>
      </w:pPr>
      <w:r>
        <w:t>7.1 Core guidance is loaded</w:t>
      </w:r>
    </w:p>
    <w:p>
      <w:r>
        <w:t>The trace shows vp-extraction and vp-rendering-rules being loaded first. Variant-selection and golden-example guidance is then loaded for path and semantic alignment. The platform also loads the required VP tool definitions through ToolSearch.</w:t>
      </w:r>
    </w:p>
    <w:p>
      <w:pPr>
        <w:pStyle w:val="Heading2"/>
      </w:pPr>
      <w:r>
        <w:t>7.2 Initial normalization produces evidence</w:t>
      </w:r>
    </w:p>
    <w:p>
      <w:pPr>
        <w:pStyle w:val="CodeBlock"/>
        <w:keepLines/>
        <w:shd w:fill="F4F6F8"/>
        <w:pBdr>
          <w:top w:val="single" w:sz="6" w:space="4" w:color="D6DCE4"/>
          <w:left w:val="single" w:sz="6" w:space="4" w:color="D6DCE4"/>
          <w:bottom w:val="single" w:sz="6" w:space="4" w:color="D6DCE4"/>
          <w:right w:val="single" w:sz="6" w:space="4" w:color="D6DCE4"/>
        </w:pBdr>
      </w:pPr>
      <w:r>
        <w:t>{</w:t>
        <w:br/>
        <w:t xml:space="preserve">  "client": "omantel",</w:t>
        <w:br/>
        <w:t xml:space="preserve">  "request": "Total pay-as-you-go data used on the local network by smartphone users over last 3 months"</w:t>
        <w:br/>
        <w:t>}</w:t>
      </w:r>
    </w:p>
    <w:p>
      <w:r>
        <w:t>normalize_slots recognized the smartphone filter and a three-month period, but initially returned an unknown domain, an empty KPI phrase, and a clarification warning. That output is not allowed to become the final interpretation automatically.</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top w:val="single" w:sz="8" w:color="2E74B5"/>
              <w:start w:val="single" w:sz="16" w:color="2E74B5"/>
              <w:bottom w:val="single" w:sz="8" w:color="2E74B5"/>
              <w:end w:val="single" w:sz="8" w:color="2E74B5"/>
            </w:tcBorders>
          </w:tcPr>
          <w:p>
            <w:pPr>
              <w:pStyle w:val="Callout"/>
            </w:pPr>
            <w:r>
              <w:rPr>
                <w:b/>
              </w:rPr>
              <w:t xml:space="preserve">Agent correction: </w:t>
            </w:r>
            <w:r>
              <w:t>From the sentence, the agent resolves domain = usage, KPI = local pay-as-you-go data volume, aggregate = SUM, filter = handset type Smartphone, and time = bounded last three complete months.</w:t>
            </w:r>
          </w:p>
        </w:tc>
      </w:tr>
    </w:tbl>
    <w:p>
      <w:pPr>
        <w:spacing w:after="0"/>
      </w:pPr>
    </w:p>
    <w:p>
      <w:pPr>
        <w:pStyle w:val="CodeBlock"/>
        <w:keepLines/>
        <w:shd w:fill="F4F6F8"/>
        <w:pBdr>
          <w:top w:val="single" w:sz="6" w:space="4" w:color="D6DCE4"/>
          <w:left w:val="single" w:sz="6" w:space="4" w:color="D6DCE4"/>
          <w:bottom w:val="single" w:sz="6" w:space="4" w:color="D6DCE4"/>
          <w:right w:val="single" w:sz="6" w:space="4" w:color="D6DCE4"/>
        </w:pBdr>
      </w:pPr>
      <w:r>
        <w:t>{</w:t>
        <w:br/>
        <w:t xml:space="preserve">  "domain": "usage",</w:t>
        <w:br/>
        <w:t xml:space="preserve">  "kpi_phrase": "pay-as-you-go data usage - local network",</w:t>
        <w:br/>
        <w:t xml:space="preserve">  "aggregate": "SUM",</w:t>
        <w:br/>
        <w:t xml:space="preserve">  "filters": [{"phrase": "handset type - smartphone", "operator": "=", "value": "Smartphone"}],</w:t>
        <w:br/>
        <w:t xml:space="preserve">  "time_token": "M3 (bounded last-3-months range)"</w:t>
        <w:br/>
        <w:t>}</w:t>
      </w:r>
    </w:p>
    <w:p>
      <w:pPr>
        <w:pStyle w:val="Heading2"/>
      </w:pPr>
      <w:r>
        <w:t>7.3 One batched retrieval resolves all roles</w:t>
      </w:r>
    </w:p>
    <w:p>
      <w:r>
        <w:t>The corrected slots are passed once to retrieve_columns. The call resolves the metric, filter, and time requirements together, which reduces repeated tool prompts and makes cross-role/group compatibility visible.</w:t>
      </w:r>
    </w:p>
    <w:tbl>
      <w:tblPr>
        <w:tblStyle w:val="TableGrid"/>
        <w:tblW w:type="dxa" w:w="9360"/>
        <w:jc w:val="center"/>
        <w:tblLayout w:type="fixed"/>
        <w:tblLook w:firstColumn="1" w:firstRow="1" w:lastColumn="0" w:lastRow="0" w:noHBand="0" w:noVBand="1" w:val="04A0"/>
        <w:tblInd w:w="120" w:type="dxa"/>
      </w:tblPr>
      <w:tblGrid>
        <w:gridCol w:w="860"/>
        <w:gridCol w:w="3050"/>
        <w:gridCol w:w="1700"/>
        <w:gridCol w:w="850"/>
        <w:gridCol w:w="2900"/>
      </w:tblGrid>
      <w:tr>
        <w:trPr>
          <w:tblHeader w:val="true"/>
          <w:cantSplit/>
        </w:trPr>
        <w:tc>
          <w:tcPr>
            <w:tcW w:type="dxa" w:w="860"/>
            <w:shd w:fill="E8EEF5"/>
            <w:tcMar>
              <w:top w:w="80" w:type="dxa"/>
              <w:start w:w="120" w:type="dxa"/>
              <w:bottom w:w="80" w:type="dxa"/>
              <w:end w:w="120" w:type="dxa"/>
            </w:tcMar>
            <w:vAlign w:val="center"/>
          </w:tcPr>
          <w:p>
            <w:pPr>
              <w:keepLines/>
              <w:spacing w:after="0"/>
            </w:pPr>
            <w:r>
              <w:rPr>
                <w:b/>
                <w:color w:val="17365D"/>
                <w:sz w:val="16"/>
              </w:rPr>
              <w:t>Role</w:t>
            </w:r>
          </w:p>
        </w:tc>
        <w:tc>
          <w:tcPr>
            <w:tcW w:type="dxa" w:w="3050"/>
            <w:shd w:fill="E8EEF5"/>
            <w:tcMar>
              <w:top w:w="80" w:type="dxa"/>
              <w:start w:w="120" w:type="dxa"/>
              <w:bottom w:w="80" w:type="dxa"/>
              <w:end w:w="120" w:type="dxa"/>
            </w:tcMar>
            <w:vAlign w:val="center"/>
          </w:tcPr>
          <w:p>
            <w:pPr>
              <w:keepLines/>
              <w:spacing w:after="0"/>
            </w:pPr>
            <w:r>
              <w:rPr>
                <w:b/>
                <w:color w:val="17365D"/>
                <w:sz w:val="16"/>
              </w:rPr>
              <w:t>Best compact candidate</w:t>
            </w:r>
          </w:p>
        </w:tc>
        <w:tc>
          <w:tcPr>
            <w:tcW w:type="dxa" w:w="1700"/>
            <w:shd w:fill="E8EEF5"/>
            <w:tcMar>
              <w:top w:w="80" w:type="dxa"/>
              <w:start w:w="120" w:type="dxa"/>
              <w:bottom w:w="80" w:type="dxa"/>
              <w:end w:w="120" w:type="dxa"/>
            </w:tcMar>
            <w:vAlign w:val="center"/>
          </w:tcPr>
          <w:p>
            <w:pPr>
              <w:keepLines/>
              <w:spacing w:after="0"/>
            </w:pPr>
            <w:r>
              <w:rPr>
                <w:b/>
                <w:color w:val="17365D"/>
                <w:sz w:val="16"/>
              </w:rPr>
              <w:t>Group</w:t>
            </w:r>
          </w:p>
        </w:tc>
        <w:tc>
          <w:tcPr>
            <w:tcW w:type="dxa" w:w="850"/>
            <w:shd w:fill="E8EEF5"/>
            <w:tcMar>
              <w:top w:w="80" w:type="dxa"/>
              <w:start w:w="120" w:type="dxa"/>
              <w:bottom w:w="80" w:type="dxa"/>
              <w:end w:w="120" w:type="dxa"/>
            </w:tcMar>
            <w:vAlign w:val="center"/>
          </w:tcPr>
          <w:p>
            <w:pPr>
              <w:keepLines/>
              <w:spacing w:after="0"/>
            </w:pPr>
            <w:r>
              <w:rPr>
                <w:b/>
                <w:color w:val="17365D"/>
                <w:sz w:val="16"/>
              </w:rPr>
              <w:t>Score</w:t>
            </w:r>
          </w:p>
        </w:tc>
        <w:tc>
          <w:tcPr>
            <w:tcW w:type="dxa" w:w="2900"/>
            <w:shd w:fill="E8EEF5"/>
            <w:tcMar>
              <w:top w:w="80" w:type="dxa"/>
              <w:start w:w="120" w:type="dxa"/>
              <w:bottom w:w="80" w:type="dxa"/>
              <w:end w:w="120" w:type="dxa"/>
            </w:tcMar>
            <w:vAlign w:val="center"/>
          </w:tcPr>
          <w:p>
            <w:pPr>
              <w:keepLines/>
              <w:spacing w:after="0"/>
            </w:pPr>
            <w:r>
              <w:rPr>
                <w:b/>
                <w:color w:val="17365D"/>
                <w:sz w:val="16"/>
              </w:rPr>
              <w:t>Concise evidence</w:t>
            </w:r>
          </w:p>
        </w:tc>
      </w:tr>
      <w:tr>
        <w:trPr>
          <w:cantSplit/>
        </w:trPr>
        <w:tc>
          <w:tcPr>
            <w:tcW w:type="dxa" w:w="860"/>
            <w:tcMar>
              <w:top w:w="80" w:type="dxa"/>
              <w:start w:w="120" w:type="dxa"/>
              <w:bottom w:w="80" w:type="dxa"/>
              <w:end w:w="120" w:type="dxa"/>
            </w:tcMar>
            <w:vAlign w:val="center"/>
          </w:tcPr>
          <w:p>
            <w:pPr>
              <w:keepLines/>
              <w:spacing w:after="20" w:line="252" w:lineRule="auto"/>
            </w:pPr>
            <w:r>
              <w:rPr>
                <w:sz w:val="16"/>
              </w:rPr>
              <w:t>Metric</w:t>
            </w:r>
          </w:p>
        </w:tc>
        <w:tc>
          <w:tcPr>
            <w:tcW w:type="dxa" w:w="3050"/>
            <w:tcMar>
              <w:top w:w="80" w:type="dxa"/>
              <w:start w:w="120" w:type="dxa"/>
              <w:bottom w:w="80" w:type="dxa"/>
              <w:end w:w="120" w:type="dxa"/>
            </w:tcMar>
            <w:vAlign w:val="center"/>
          </w:tcPr>
          <w:p>
            <w:pPr>
              <w:keepLines/>
              <w:spacing w:after="20" w:line="252" w:lineRule="auto"/>
            </w:pPr>
            <w:r>
              <w:rPr>
                <w:sz w:val="16"/>
              </w:rPr>
              <w:t>COMMON_Data_Local_PayG_Volume</w:t>
            </w:r>
          </w:p>
        </w:tc>
        <w:tc>
          <w:tcPr>
            <w:tcW w:type="dxa" w:w="1700"/>
            <w:tcMar>
              <w:top w:w="80" w:type="dxa"/>
              <w:start w:w="120" w:type="dxa"/>
              <w:bottom w:w="80" w:type="dxa"/>
              <w:end w:w="120" w:type="dxa"/>
            </w:tcMar>
            <w:vAlign w:val="center"/>
          </w:tcPr>
          <w:p>
            <w:pPr>
              <w:keepLines/>
              <w:spacing w:after="20" w:line="252" w:lineRule="auto"/>
            </w:pPr>
            <w:r>
              <w:rPr>
                <w:sz w:val="16"/>
              </w:rPr>
              <w:t>Common_Seg_Fct</w:t>
            </w:r>
          </w:p>
        </w:tc>
        <w:tc>
          <w:tcPr>
            <w:tcW w:type="dxa" w:w="850"/>
            <w:tcMar>
              <w:top w:w="80" w:type="dxa"/>
              <w:start w:w="120" w:type="dxa"/>
              <w:bottom w:w="80" w:type="dxa"/>
              <w:end w:w="120" w:type="dxa"/>
            </w:tcMar>
            <w:vAlign w:val="center"/>
          </w:tcPr>
          <w:p>
            <w:pPr>
              <w:keepLines/>
              <w:spacing w:after="20" w:line="252" w:lineRule="auto"/>
            </w:pPr>
            <w:r>
              <w:rPr>
                <w:sz w:val="16"/>
              </w:rPr>
              <w:t>0.937</w:t>
            </w:r>
          </w:p>
        </w:tc>
        <w:tc>
          <w:tcPr>
            <w:tcW w:type="dxa" w:w="2900"/>
            <w:tcMar>
              <w:top w:w="80" w:type="dxa"/>
              <w:start w:w="120" w:type="dxa"/>
              <w:bottom w:w="80" w:type="dxa"/>
              <w:end w:w="120" w:type="dxa"/>
            </w:tcMar>
            <w:vAlign w:val="center"/>
          </w:tcPr>
          <w:p>
            <w:pPr>
              <w:keepLines/>
              <w:spacing w:after="20" w:line="252" w:lineRule="auto"/>
            </w:pPr>
            <w:r>
              <w:rPr>
                <w:sz w:val="16"/>
              </w:rPr>
              <w:t>Exact local PAYG data-volume meaning; supports custom rolling windows via the group date.</w:t>
            </w:r>
          </w:p>
        </w:tc>
      </w:tr>
      <w:tr>
        <w:trPr>
          <w:cantSplit/>
        </w:trPr>
        <w:tc>
          <w:tcPr>
            <w:tcW w:type="dxa" w:w="860"/>
            <w:tcMar>
              <w:top w:w="80" w:type="dxa"/>
              <w:start w:w="120" w:type="dxa"/>
              <w:bottom w:w="80" w:type="dxa"/>
              <w:end w:w="120" w:type="dxa"/>
            </w:tcMar>
            <w:vAlign w:val="center"/>
          </w:tcPr>
          <w:p>
            <w:pPr>
              <w:keepLines/>
              <w:spacing w:after="20" w:line="252" w:lineRule="auto"/>
            </w:pPr>
            <w:r>
              <w:rPr>
                <w:sz w:val="16"/>
              </w:rPr>
              <w:t>Filter</w:t>
            </w:r>
          </w:p>
        </w:tc>
        <w:tc>
          <w:tcPr>
            <w:tcW w:type="dxa" w:w="3050"/>
            <w:tcMar>
              <w:top w:w="80" w:type="dxa"/>
              <w:start w:w="120" w:type="dxa"/>
              <w:bottom w:w="80" w:type="dxa"/>
              <w:end w:w="120" w:type="dxa"/>
            </w:tcMar>
            <w:vAlign w:val="center"/>
          </w:tcPr>
          <w:p>
            <w:pPr>
              <w:keepLines/>
              <w:spacing w:after="20" w:line="252" w:lineRule="auto"/>
            </w:pPr>
            <w:r>
              <w:rPr>
                <w:sz w:val="16"/>
              </w:rPr>
              <w:t>Profile_Cdr_Handset_Type</w:t>
            </w:r>
          </w:p>
        </w:tc>
        <w:tc>
          <w:tcPr>
            <w:tcW w:type="dxa" w:w="1700"/>
            <w:tcMar>
              <w:top w:w="80" w:type="dxa"/>
              <w:start w:w="120" w:type="dxa"/>
              <w:bottom w:w="80" w:type="dxa"/>
              <w:end w:w="120" w:type="dxa"/>
            </w:tcMar>
            <w:vAlign w:val="center"/>
          </w:tcPr>
          <w:p>
            <w:pPr>
              <w:keepLines/>
              <w:spacing w:after="20" w:line="252" w:lineRule="auto"/>
            </w:pPr>
            <w:r>
              <w:rPr>
                <w:sz w:val="16"/>
              </w:rPr>
              <w:t>Profile_Cdr_group</w:t>
            </w:r>
          </w:p>
        </w:tc>
        <w:tc>
          <w:tcPr>
            <w:tcW w:type="dxa" w:w="850"/>
            <w:tcMar>
              <w:top w:w="80" w:type="dxa"/>
              <w:start w:w="120" w:type="dxa"/>
              <w:bottom w:w="80" w:type="dxa"/>
              <w:end w:w="120" w:type="dxa"/>
            </w:tcMar>
            <w:vAlign w:val="center"/>
          </w:tcPr>
          <w:p>
            <w:pPr>
              <w:keepLines/>
              <w:spacing w:after="20" w:line="252" w:lineRule="auto"/>
            </w:pPr>
            <w:r>
              <w:rPr>
                <w:sz w:val="16"/>
              </w:rPr>
              <w:t>1.065</w:t>
            </w:r>
          </w:p>
        </w:tc>
        <w:tc>
          <w:tcPr>
            <w:tcW w:type="dxa" w:w="2900"/>
            <w:tcMar>
              <w:top w:w="80" w:type="dxa"/>
              <w:start w:w="120" w:type="dxa"/>
              <w:bottom w:w="80" w:type="dxa"/>
              <w:end w:w="120" w:type="dxa"/>
            </w:tcMar>
            <w:vAlign w:val="center"/>
          </w:tcPr>
          <w:p>
            <w:pPr>
              <w:keepLines/>
              <w:spacing w:after="20" w:line="252" w:lineRule="auto"/>
            </w:pPr>
            <w:r>
              <w:rPr>
                <w:sz w:val="16"/>
              </w:rPr>
              <w:t>Direct categorical handset-type field; matches Smartphone.</w:t>
            </w:r>
          </w:p>
        </w:tc>
      </w:tr>
      <w:tr>
        <w:trPr>
          <w:cantSplit/>
        </w:trPr>
        <w:tc>
          <w:tcPr>
            <w:tcW w:type="dxa" w:w="860"/>
            <w:tcMar>
              <w:top w:w="80" w:type="dxa"/>
              <w:start w:w="120" w:type="dxa"/>
              <w:bottom w:w="80" w:type="dxa"/>
              <w:end w:w="120" w:type="dxa"/>
            </w:tcMar>
            <w:vAlign w:val="center"/>
          </w:tcPr>
          <w:p>
            <w:pPr>
              <w:keepLines/>
              <w:spacing w:after="20" w:line="252" w:lineRule="auto"/>
            </w:pPr>
            <w:r>
              <w:rPr>
                <w:sz w:val="16"/>
              </w:rPr>
              <w:t>Time</w:t>
            </w:r>
          </w:p>
        </w:tc>
        <w:tc>
          <w:tcPr>
            <w:tcW w:type="dxa" w:w="3050"/>
            <w:tcMar>
              <w:top w:w="80" w:type="dxa"/>
              <w:start w:w="120" w:type="dxa"/>
              <w:bottom w:w="80" w:type="dxa"/>
              <w:end w:w="120" w:type="dxa"/>
            </w:tcMar>
            <w:vAlign w:val="center"/>
          </w:tcPr>
          <w:p>
            <w:pPr>
              <w:keepLines/>
              <w:spacing w:after="20" w:line="252" w:lineRule="auto"/>
            </w:pPr>
            <w:r>
              <w:rPr>
                <w:sz w:val="16"/>
              </w:rPr>
              <w:t>COMMON_Event_Date</w:t>
            </w:r>
          </w:p>
        </w:tc>
        <w:tc>
          <w:tcPr>
            <w:tcW w:type="dxa" w:w="1700"/>
            <w:tcMar>
              <w:top w:w="80" w:type="dxa"/>
              <w:start w:w="120" w:type="dxa"/>
              <w:bottom w:w="80" w:type="dxa"/>
              <w:end w:w="120" w:type="dxa"/>
            </w:tcMar>
            <w:vAlign w:val="center"/>
          </w:tcPr>
          <w:p>
            <w:pPr>
              <w:keepLines/>
              <w:spacing w:after="20" w:line="252" w:lineRule="auto"/>
            </w:pPr>
            <w:r>
              <w:rPr>
                <w:sz w:val="16"/>
              </w:rPr>
              <w:t>Common_Seg_Fct</w:t>
            </w:r>
          </w:p>
        </w:tc>
        <w:tc>
          <w:tcPr>
            <w:tcW w:type="dxa" w:w="850"/>
            <w:tcMar>
              <w:top w:w="80" w:type="dxa"/>
              <w:start w:w="120" w:type="dxa"/>
              <w:bottom w:w="80" w:type="dxa"/>
              <w:end w:w="120" w:type="dxa"/>
            </w:tcMar>
            <w:vAlign w:val="center"/>
          </w:tcPr>
          <w:p>
            <w:pPr>
              <w:keepLines/>
              <w:spacing w:after="20" w:line="252" w:lineRule="auto"/>
            </w:pPr>
            <w:r>
              <w:rPr>
                <w:sz w:val="16"/>
              </w:rPr>
              <w:t>—</w:t>
            </w:r>
          </w:p>
        </w:tc>
        <w:tc>
          <w:tcPr>
            <w:tcW w:type="dxa" w:w="2900"/>
            <w:tcMar>
              <w:top w:w="80" w:type="dxa"/>
              <w:start w:w="120" w:type="dxa"/>
              <w:bottom w:w="80" w:type="dxa"/>
              <w:end w:w="120" w:type="dxa"/>
            </w:tcMar>
            <w:vAlign w:val="center"/>
          </w:tcPr>
          <w:p>
            <w:pPr>
              <w:keepLines/>
              <w:spacing w:after="20" w:line="252" w:lineRule="auto"/>
            </w:pPr>
            <w:r>
              <w:rPr>
                <w:sz w:val="16"/>
              </w:rPr>
              <w:t>Configured Summary CDR event date for bounded usage windows.</w:t>
            </w:r>
          </w:p>
        </w:tc>
      </w:tr>
    </w:tbl>
    <w:p>
      <w:pPr>
        <w:spacing w:after="0"/>
      </w:pPr>
    </w:p>
    <w:p>
      <w:r>
        <w:t>The response includes audit ID 0293428870c9. The model receives only compact candidates; the complete ranking, including BM25/embedding components and lower-ranked candidates, stays in Langfuse.</w:t>
      </w:r>
    </w:p>
    <w:p>
      <w:pPr>
        <w:pStyle w:val="Heading2"/>
      </w:pPr>
      <w:r>
        <w:t>7.4 Table routing is resolved</w:t>
      </w:r>
    </w:p>
    <w:p>
      <w:r>
        <w:t>The metric and filter originate from different groups. vp-table-routing guides a multi-table filter-then-aggregate path. The aggregate is evaluated on Common_Seg_Fct (Summary CDR), whose configured date field is COMMON_Event_Date.</w:t>
      </w:r>
    </w:p>
    <w:p>
      <w:pPr>
        <w:pStyle w:val="Heading2"/>
      </w:pPr>
      <w:r>
        <w:t>7.5 The first seed proposal is checked—not blindly accepted</w:t>
      </w:r>
    </w:p>
    <w:tbl>
      <w:tblPr>
        <w:tblStyle w:val="TableGrid"/>
        <w:tblW w:type="dxa" w:w="9360"/>
        <w:jc w:val="center"/>
        <w:tblLayout w:type="fixed"/>
        <w:tblLook w:firstColumn="1" w:firstRow="1" w:lastColumn="0" w:lastRow="0" w:noHBand="0" w:noVBand="1" w:val="04A0"/>
        <w:tblInd w:w="120" w:type="dxa"/>
      </w:tblPr>
      <w:tblGrid>
        <w:gridCol w:w="2100"/>
        <w:gridCol w:w="3460"/>
        <w:gridCol w:w="1100"/>
        <w:gridCol w:w="2700"/>
      </w:tblGrid>
      <w:tr>
        <w:trPr>
          <w:tblHeader w:val="true"/>
          <w:cantSplit/>
        </w:trPr>
        <w:tc>
          <w:tcPr>
            <w:tcW w:type="dxa" w:w="2100"/>
            <w:shd w:fill="E8EEF5"/>
            <w:tcMar>
              <w:top w:w="80" w:type="dxa"/>
              <w:start w:w="120" w:type="dxa"/>
              <w:bottom w:w="80" w:type="dxa"/>
              <w:end w:w="120" w:type="dxa"/>
            </w:tcMar>
            <w:vAlign w:val="center"/>
          </w:tcPr>
          <w:p>
            <w:pPr>
              <w:keepLines/>
              <w:spacing w:after="0"/>
            </w:pPr>
            <w:r>
              <w:rPr>
                <w:b/>
                <w:color w:val="17365D"/>
                <w:sz w:val="17"/>
              </w:rPr>
              <w:t>Seed</w:t>
            </w:r>
          </w:p>
        </w:tc>
        <w:tc>
          <w:tcPr>
            <w:tcW w:type="dxa" w:w="3460"/>
            <w:shd w:fill="E8EEF5"/>
            <w:tcMar>
              <w:top w:w="80" w:type="dxa"/>
              <w:start w:w="120" w:type="dxa"/>
              <w:bottom w:w="80" w:type="dxa"/>
              <w:end w:w="120" w:type="dxa"/>
            </w:tcMar>
            <w:vAlign w:val="center"/>
          </w:tcPr>
          <w:p>
            <w:pPr>
              <w:keepLines/>
              <w:spacing w:after="0"/>
            </w:pPr>
            <w:r>
              <w:rPr>
                <w:b/>
                <w:color w:val="17365D"/>
                <w:sz w:val="17"/>
              </w:rPr>
              <w:t>Meaning</w:t>
            </w:r>
          </w:p>
        </w:tc>
        <w:tc>
          <w:tcPr>
            <w:tcW w:type="dxa" w:w="1100"/>
            <w:shd w:fill="E8EEF5"/>
            <w:tcMar>
              <w:top w:w="80" w:type="dxa"/>
              <w:start w:w="120" w:type="dxa"/>
              <w:bottom w:w="80" w:type="dxa"/>
              <w:end w:w="120" w:type="dxa"/>
            </w:tcMar>
            <w:vAlign w:val="center"/>
          </w:tcPr>
          <w:p>
            <w:pPr>
              <w:keepLines/>
              <w:spacing w:after="0"/>
            </w:pPr>
            <w:r>
              <w:rPr>
                <w:b/>
                <w:color w:val="17365D"/>
                <w:sz w:val="17"/>
              </w:rPr>
              <w:t>Confidence</w:t>
            </w:r>
          </w:p>
        </w:tc>
        <w:tc>
          <w:tcPr>
            <w:tcW w:type="dxa" w:w="2700"/>
            <w:shd w:fill="E8EEF5"/>
            <w:tcMar>
              <w:top w:w="80" w:type="dxa"/>
              <w:start w:w="120" w:type="dxa"/>
              <w:bottom w:w="80" w:type="dxa"/>
              <w:end w:w="120" w:type="dxa"/>
            </w:tcMar>
            <w:vAlign w:val="center"/>
          </w:tcPr>
          <w:p>
            <w:pPr>
              <w:keepLines/>
              <w:spacing w:after="0"/>
            </w:pPr>
            <w:r>
              <w:rPr>
                <w:b/>
                <w:color w:val="17365D"/>
                <w:sz w:val="17"/>
              </w:rPr>
              <w:t>Decision</w:t>
            </w:r>
          </w:p>
        </w:tc>
      </w:tr>
      <w:tr>
        <w:trPr>
          <w:cantSplit/>
        </w:trPr>
        <w:tc>
          <w:tcPr>
            <w:tcW w:type="dxa" w:w="2100"/>
            <w:tcMar>
              <w:top w:w="80" w:type="dxa"/>
              <w:start w:w="120" w:type="dxa"/>
              <w:bottom w:w="80" w:type="dxa"/>
              <w:end w:w="120" w:type="dxa"/>
            </w:tcMar>
            <w:vAlign w:val="center"/>
          </w:tcPr>
          <w:p>
            <w:pPr>
              <w:keepLines/>
              <w:spacing w:after="20" w:line="252" w:lineRule="auto"/>
            </w:pPr>
            <w:r>
              <w:rPr>
                <w:sz w:val="17"/>
              </w:rPr>
              <w:t>S01_fixed_month_sum</w:t>
            </w:r>
          </w:p>
        </w:tc>
        <w:tc>
          <w:tcPr>
            <w:tcW w:type="dxa" w:w="3460"/>
            <w:tcMar>
              <w:top w:w="80" w:type="dxa"/>
              <w:start w:w="120" w:type="dxa"/>
              <w:bottom w:w="80" w:type="dxa"/>
              <w:end w:w="120" w:type="dxa"/>
            </w:tcMar>
            <w:vAlign w:val="center"/>
          </w:tcPr>
          <w:p>
            <w:pPr>
              <w:keepLines/>
              <w:spacing w:after="20" w:line="252" w:lineRule="auto"/>
            </w:pPr>
            <w:r>
              <w:rPr>
                <w:sz w:val="17"/>
              </w:rPr>
              <w:t>SUM for one specific calendar-month offset</w:t>
            </w:r>
          </w:p>
        </w:tc>
        <w:tc>
          <w:tcPr>
            <w:tcW w:type="dxa" w:w="1100"/>
            <w:tcMar>
              <w:top w:w="80" w:type="dxa"/>
              <w:start w:w="120" w:type="dxa"/>
              <w:bottom w:w="80" w:type="dxa"/>
              <w:end w:w="120" w:type="dxa"/>
            </w:tcMar>
            <w:vAlign w:val="center"/>
          </w:tcPr>
          <w:p>
            <w:pPr>
              <w:keepLines/>
              <w:spacing w:after="20" w:line="252" w:lineRule="auto"/>
            </w:pPr>
            <w:r>
              <w:rPr>
                <w:sz w:val="17"/>
              </w:rPr>
              <w:t>0.759</w:t>
            </w:r>
          </w:p>
        </w:tc>
        <w:tc>
          <w:tcPr>
            <w:tcW w:type="dxa" w:w="2700"/>
            <w:tcMar>
              <w:top w:w="80" w:type="dxa"/>
              <w:start w:w="120" w:type="dxa"/>
              <w:bottom w:w="80" w:type="dxa"/>
              <w:end w:w="120" w:type="dxa"/>
            </w:tcMar>
            <w:vAlign w:val="center"/>
          </w:tcPr>
          <w:p>
            <w:pPr>
              <w:keepLines/>
              <w:spacing w:after="20" w:line="252" w:lineRule="auto"/>
            </w:pPr>
            <w:r>
              <w:rPr>
                <w:sz w:val="17"/>
              </w:rPr>
              <w:t>Rejected: M3 alone would mean only the month three months ago.</w:t>
            </w:r>
          </w:p>
        </w:tc>
      </w:tr>
      <w:tr>
        <w:trPr>
          <w:cantSplit/>
        </w:trPr>
        <w:tc>
          <w:tcPr>
            <w:tcW w:type="dxa" w:w="2100"/>
            <w:tcMar>
              <w:top w:w="80" w:type="dxa"/>
              <w:start w:w="120" w:type="dxa"/>
              <w:bottom w:w="80" w:type="dxa"/>
              <w:end w:w="120" w:type="dxa"/>
            </w:tcMar>
            <w:vAlign w:val="center"/>
          </w:tcPr>
          <w:p>
            <w:pPr>
              <w:keepLines/>
              <w:spacing w:after="20" w:line="252" w:lineRule="auto"/>
            </w:pPr>
            <w:r>
              <w:rPr>
                <w:sz w:val="17"/>
              </w:rPr>
              <w:t>S13_last_n_months_bounded</w:t>
            </w:r>
          </w:p>
        </w:tc>
        <w:tc>
          <w:tcPr>
            <w:tcW w:type="dxa" w:w="3460"/>
            <w:tcMar>
              <w:top w:w="80" w:type="dxa"/>
              <w:start w:w="120" w:type="dxa"/>
              <w:bottom w:w="80" w:type="dxa"/>
              <w:end w:w="120" w:type="dxa"/>
            </w:tcMar>
            <w:vAlign w:val="center"/>
          </w:tcPr>
          <w:p>
            <w:pPr>
              <w:keepLines/>
              <w:spacing w:after="20" w:line="252" w:lineRule="auto"/>
            </w:pPr>
            <w:r>
              <w:rPr>
                <w:sz w:val="17"/>
              </w:rPr>
              <w:t>SUM across a bounded N-month range</w:t>
            </w:r>
          </w:p>
        </w:tc>
        <w:tc>
          <w:tcPr>
            <w:tcW w:type="dxa" w:w="1100"/>
            <w:tcMar>
              <w:top w:w="80" w:type="dxa"/>
              <w:start w:w="120" w:type="dxa"/>
              <w:bottom w:w="80" w:type="dxa"/>
              <w:end w:w="120" w:type="dxa"/>
            </w:tcMar>
            <w:vAlign w:val="center"/>
          </w:tcPr>
          <w:p>
            <w:pPr>
              <w:keepLines/>
              <w:spacing w:after="20" w:line="252" w:lineRule="auto"/>
            </w:pPr>
            <w:r>
              <w:rPr>
                <w:sz w:val="17"/>
              </w:rPr>
              <w:t>0.752</w:t>
            </w:r>
          </w:p>
        </w:tc>
        <w:tc>
          <w:tcPr>
            <w:tcW w:type="dxa" w:w="2700"/>
            <w:tcMar>
              <w:top w:w="80" w:type="dxa"/>
              <w:start w:w="120" w:type="dxa"/>
              <w:bottom w:w="80" w:type="dxa"/>
              <w:end w:w="120" w:type="dxa"/>
            </w:tcMar>
            <w:vAlign w:val="center"/>
          </w:tcPr>
          <w:p>
            <w:pPr>
              <w:keepLines/>
              <w:spacing w:after="20" w:line="252" w:lineRule="auto"/>
            </w:pPr>
            <w:r>
              <w:rPr>
                <w:sz w:val="17"/>
              </w:rPr>
              <w:t>Promoted: matches the previous three complete months.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CE"/>
            <w:tcBorders>
              <w:top w:val="single" w:sz="8" w:color="2E74B5"/>
              <w:start w:val="single" w:sz="16" w:color="2E74B5"/>
              <w:bottom w:val="single" w:sz="8" w:color="2E74B5"/>
              <w:end w:val="single" w:sz="8" w:color="2E74B5"/>
            </w:tcBorders>
          </w:tcPr>
          <w:p>
            <w:pPr>
              <w:pStyle w:val="Callout"/>
            </w:pPr>
            <w:r>
              <w:rPr>
                <w:b/>
              </w:rPr>
              <w:t xml:space="preserve">Why the lower score wins: </w:t>
            </w:r>
            <w:r>
              <w:t>A 0.007 score difference cannot override clear time semantics. “Last 3 months” is a range: date &gt;= CurrentMonth-3MONTHS and date &lt; CurrentMonth. The override is recorded for audit.</w:t>
            </w:r>
          </w:p>
        </w:tc>
      </w:tr>
    </w:tbl>
    <w:p>
      <w:pPr>
        <w:spacing w:after="0"/>
      </w:pPr>
    </w:p>
    <w:p>
      <w:pPr>
        <w:pStyle w:val="Heading2"/>
      </w:pPr>
      <w:r>
        <w:t>7.6 Resolution is recorded</w:t>
      </w:r>
    </w:p>
    <w:p>
      <w:r>
        <w:t>record_resolution stores the chosen interpretation before rendering:</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keepLines/>
              <w:spacing w:after="0"/>
            </w:pPr>
            <w:r>
              <w:rPr>
                <w:b/>
                <w:color w:val="17365D"/>
                <w:sz w:val="17"/>
              </w:rPr>
              <w:t>Recorded item</w:t>
            </w:r>
          </w:p>
        </w:tc>
        <w:tc>
          <w:tcPr>
            <w:tcW w:type="dxa" w:w="7460"/>
            <w:shd w:fill="E8EEF5"/>
            <w:tcMar>
              <w:top w:w="80" w:type="dxa"/>
              <w:start w:w="120" w:type="dxa"/>
              <w:bottom w:w="80" w:type="dxa"/>
              <w:end w:w="120" w:type="dxa"/>
            </w:tcMar>
            <w:vAlign w:val="center"/>
          </w:tcPr>
          <w:p>
            <w:pPr>
              <w:keepLines/>
              <w:spacing w:after="0"/>
            </w:pPr>
            <w:r>
              <w:rPr>
                <w:b/>
                <w:color w:val="17365D"/>
                <w:sz w:val="17"/>
              </w:rPr>
              <w:t>Value</w:t>
            </w:r>
          </w:p>
        </w:tc>
      </w:tr>
      <w:tr>
        <w:trPr>
          <w:cantSplit/>
        </w:trPr>
        <w:tc>
          <w:tcPr>
            <w:tcW w:type="dxa" w:w="1900"/>
            <w:tcMar>
              <w:top w:w="80" w:type="dxa"/>
              <w:start w:w="120" w:type="dxa"/>
              <w:bottom w:w="80" w:type="dxa"/>
              <w:end w:w="120" w:type="dxa"/>
            </w:tcMar>
            <w:vAlign w:val="center"/>
          </w:tcPr>
          <w:p>
            <w:pPr>
              <w:keepLines/>
              <w:spacing w:after="20" w:line="252" w:lineRule="auto"/>
            </w:pPr>
            <w:r>
              <w:rPr>
                <w:sz w:val="17"/>
              </w:rPr>
              <w:t>Columns</w:t>
            </w:r>
          </w:p>
        </w:tc>
        <w:tc>
          <w:tcPr>
            <w:tcW w:type="dxa" w:w="7460"/>
            <w:tcMar>
              <w:top w:w="80" w:type="dxa"/>
              <w:start w:w="120" w:type="dxa"/>
              <w:bottom w:w="80" w:type="dxa"/>
              <w:end w:w="120" w:type="dxa"/>
            </w:tcMar>
            <w:vAlign w:val="center"/>
          </w:tcPr>
          <w:p>
            <w:pPr>
              <w:keepLines/>
              <w:spacing w:after="20" w:line="252" w:lineRule="auto"/>
            </w:pPr>
            <w:r>
              <w:rPr>
                <w:sz w:val="17"/>
              </w:rPr>
              <w:t>COMMON_Data_Local_PayG_Volume; Profile_Cdr_Handset_Type; COMMON_Event_Date</w:t>
            </w:r>
          </w:p>
        </w:tc>
      </w:tr>
      <w:tr>
        <w:trPr>
          <w:cantSplit/>
        </w:trPr>
        <w:tc>
          <w:tcPr>
            <w:tcW w:type="dxa" w:w="1900"/>
            <w:tcMar>
              <w:top w:w="80" w:type="dxa"/>
              <w:start w:w="120" w:type="dxa"/>
              <w:bottom w:w="80" w:type="dxa"/>
              <w:end w:w="120" w:type="dxa"/>
            </w:tcMar>
            <w:vAlign w:val="center"/>
          </w:tcPr>
          <w:p>
            <w:pPr>
              <w:keepLines/>
              <w:spacing w:after="20" w:line="252" w:lineRule="auto"/>
            </w:pPr>
            <w:r>
              <w:rPr>
                <w:sz w:val="17"/>
              </w:rPr>
              <w:t>Seed</w:t>
            </w:r>
          </w:p>
        </w:tc>
        <w:tc>
          <w:tcPr>
            <w:tcW w:type="dxa" w:w="7460"/>
            <w:tcMar>
              <w:top w:w="80" w:type="dxa"/>
              <w:start w:w="120" w:type="dxa"/>
              <w:bottom w:w="80" w:type="dxa"/>
              <w:end w:w="120" w:type="dxa"/>
            </w:tcMar>
            <w:vAlign w:val="center"/>
          </w:tcPr>
          <w:p>
            <w:pPr>
              <w:keepLines/>
              <w:spacing w:after="20" w:line="252" w:lineRule="auto"/>
            </w:pPr>
            <w:r>
              <w:rPr>
                <w:sz w:val="17"/>
              </w:rPr>
              <w:t>S13_last_n_months_bounded</w:t>
            </w:r>
          </w:p>
        </w:tc>
      </w:tr>
      <w:tr>
        <w:trPr>
          <w:cantSplit/>
        </w:trPr>
        <w:tc>
          <w:tcPr>
            <w:tcW w:type="dxa" w:w="1900"/>
            <w:tcMar>
              <w:top w:w="80" w:type="dxa"/>
              <w:start w:w="120" w:type="dxa"/>
              <w:bottom w:w="80" w:type="dxa"/>
              <w:end w:w="120" w:type="dxa"/>
            </w:tcMar>
            <w:vAlign w:val="center"/>
          </w:tcPr>
          <w:p>
            <w:pPr>
              <w:keepLines/>
              <w:spacing w:after="20" w:line="252" w:lineRule="auto"/>
            </w:pPr>
            <w:r>
              <w:rPr>
                <w:sz w:val="17"/>
              </w:rPr>
              <w:t>Proposed seed</w:t>
            </w:r>
          </w:p>
        </w:tc>
        <w:tc>
          <w:tcPr>
            <w:tcW w:type="dxa" w:w="7460"/>
            <w:tcMar>
              <w:top w:w="80" w:type="dxa"/>
              <w:start w:w="120" w:type="dxa"/>
              <w:bottom w:w="80" w:type="dxa"/>
              <w:end w:w="120" w:type="dxa"/>
            </w:tcMar>
            <w:vAlign w:val="center"/>
          </w:tcPr>
          <w:p>
            <w:pPr>
              <w:keepLines/>
              <w:spacing w:after="20" w:line="252" w:lineRule="auto"/>
            </w:pPr>
            <w:r>
              <w:rPr>
                <w:sz w:val="17"/>
              </w:rPr>
              <w:t>S01_fixed_month_sum</w:t>
            </w:r>
          </w:p>
        </w:tc>
      </w:tr>
      <w:tr>
        <w:trPr>
          <w:cantSplit/>
        </w:trPr>
        <w:tc>
          <w:tcPr>
            <w:tcW w:type="dxa" w:w="1900"/>
            <w:tcMar>
              <w:top w:w="80" w:type="dxa"/>
              <w:start w:w="120" w:type="dxa"/>
              <w:bottom w:w="80" w:type="dxa"/>
              <w:end w:w="120" w:type="dxa"/>
            </w:tcMar>
            <w:vAlign w:val="center"/>
          </w:tcPr>
          <w:p>
            <w:pPr>
              <w:keepLines/>
              <w:spacing w:after="20" w:line="252" w:lineRule="auto"/>
            </w:pPr>
            <w:r>
              <w:rPr>
                <w:sz w:val="17"/>
              </w:rPr>
              <w:t>Override</w:t>
            </w:r>
          </w:p>
        </w:tc>
        <w:tc>
          <w:tcPr>
            <w:tcW w:type="dxa" w:w="7460"/>
            <w:tcMar>
              <w:top w:w="80" w:type="dxa"/>
              <w:start w:w="120" w:type="dxa"/>
              <w:bottom w:w="80" w:type="dxa"/>
              <w:end w:w="120" w:type="dxa"/>
            </w:tcMar>
            <w:vAlign w:val="center"/>
          </w:tcPr>
          <w:p>
            <w:pPr>
              <w:keepLines/>
              <w:spacing w:after="20" w:line="252" w:lineRule="auto"/>
            </w:pPr>
            <w:r>
              <w:rPr>
                <w:sz w:val="17"/>
              </w:rPr>
              <w:t>true</w:t>
            </w:r>
          </w:p>
        </w:tc>
      </w:tr>
      <w:tr>
        <w:trPr>
          <w:cantSplit/>
        </w:trPr>
        <w:tc>
          <w:tcPr>
            <w:tcW w:type="dxa" w:w="1900"/>
            <w:tcMar>
              <w:top w:w="80" w:type="dxa"/>
              <w:start w:w="120" w:type="dxa"/>
              <w:bottom w:w="80" w:type="dxa"/>
              <w:end w:w="120" w:type="dxa"/>
            </w:tcMar>
            <w:vAlign w:val="center"/>
          </w:tcPr>
          <w:p>
            <w:pPr>
              <w:keepLines/>
              <w:spacing w:after="20" w:line="252" w:lineRule="auto"/>
            </w:pPr>
            <w:r>
              <w:rPr>
                <w:sz w:val="17"/>
              </w:rPr>
              <w:t>Path</w:t>
            </w:r>
          </w:p>
        </w:tc>
        <w:tc>
          <w:tcPr>
            <w:tcW w:type="dxa" w:w="7460"/>
            <w:tcMar>
              <w:top w:w="80" w:type="dxa"/>
              <w:start w:w="120" w:type="dxa"/>
              <w:bottom w:w="80" w:type="dxa"/>
              <w:end w:w="120" w:type="dxa"/>
            </w:tcMar>
            <w:vAlign w:val="center"/>
          </w:tcPr>
          <w:p>
            <w:pPr>
              <w:keepLines/>
              <w:spacing w:after="20" w:line="252" w:lineRule="auto"/>
            </w:pPr>
            <w:r>
              <w:rPr>
                <w:sz w:val="17"/>
              </w:rPr>
              <w:t>variant2_multi_table_filter_then_aggregate</w:t>
            </w:r>
          </w:p>
        </w:tc>
      </w:tr>
      <w:tr>
        <w:trPr>
          <w:cantSplit/>
        </w:trPr>
        <w:tc>
          <w:tcPr>
            <w:tcW w:type="dxa" w:w="1900"/>
            <w:tcMar>
              <w:top w:w="80" w:type="dxa"/>
              <w:start w:w="120" w:type="dxa"/>
              <w:bottom w:w="80" w:type="dxa"/>
              <w:end w:w="120" w:type="dxa"/>
            </w:tcMar>
            <w:vAlign w:val="center"/>
          </w:tcPr>
          <w:p>
            <w:pPr>
              <w:keepLines/>
              <w:spacing w:after="20" w:line="252" w:lineRule="auto"/>
            </w:pPr>
            <w:r>
              <w:rPr>
                <w:sz w:val="17"/>
              </w:rPr>
              <w:t>Snapshot</w:t>
            </w:r>
          </w:p>
        </w:tc>
        <w:tc>
          <w:tcPr>
            <w:tcW w:type="dxa" w:w="7460"/>
            <w:tcMar>
              <w:top w:w="80" w:type="dxa"/>
              <w:start w:w="120" w:type="dxa"/>
              <w:bottom w:w="80" w:type="dxa"/>
              <w:end w:w="120" w:type="dxa"/>
            </w:tcMar>
            <w:vAlign w:val="center"/>
          </w:tcPr>
          <w:p>
            <w:pPr>
              <w:keepLines/>
              <w:spacing w:after="20" w:line="252" w:lineRule="auto"/>
            </w:pPr>
            <w:r>
              <w:rPr>
                <w:sz w:val="17"/>
              </w:rPr>
              <w:t>false</w:t>
            </w:r>
          </w:p>
        </w:tc>
      </w:tr>
    </w:tbl>
    <w:p>
      <w:pPr>
        <w:spacing w:after="0"/>
      </w:pPr>
    </w:p>
    <w:p>
      <w:pPr>
        <w:pStyle w:val="Heading2"/>
      </w:pPr>
      <w:r>
        <w:t>7.7 The renderer emits the rule</w:t>
      </w:r>
    </w:p>
    <w:p>
      <w:r>
        <w:t>The agent supplies a complete template to render_condition. The renderer—not the model—emits the authoritative syntax. Runtime placeholders remain intact for the downstream UI.</w:t>
      </w:r>
    </w:p>
    <w:p>
      <w:pPr>
        <w:pStyle w:val="CodeBlock"/>
        <w:keepLines/>
        <w:shd w:fill="F4F6F8"/>
        <w:pBdr>
          <w:top w:val="single" w:sz="6" w:space="4" w:color="D6DCE4"/>
          <w:left w:val="single" w:sz="6" w:space="4" w:color="D6DCE4"/>
          <w:bottom w:val="single" w:sz="6" w:space="4" w:color="D6DCE4"/>
          <w:right w:val="single" w:sz="6" w:space="4" w:color="D6DCE4"/>
        </w:pBdr>
      </w:pPr>
      <w:r>
        <w:t>Profile_Cdr_Handset_Type = 'Smartphone' AND COMMON_Event_Date &gt;= CurrentMonth-3MONTHS AND COMMON_Event_Date &lt; CurrentMonth AND SUM(COMMON_Data_Local_PayG_Volume) ${operator} ${value}</w:t>
      </w:r>
    </w:p>
    <w:p>
      <w:pPr>
        <w:pStyle w:val="Heading2"/>
      </w:pPr>
      <w:r>
        <w:t>7.8 Deterministic validation accepts the result</w:t>
      </w:r>
    </w:p>
    <w:p>
      <w:pPr>
        <w:pStyle w:val="CodeBlock"/>
        <w:keepLines/>
        <w:shd w:fill="F4F6F8"/>
        <w:pBdr>
          <w:top w:val="single" w:sz="6" w:space="4" w:color="D6DCE4"/>
          <w:left w:val="single" w:sz="6" w:space="4" w:color="D6DCE4"/>
          <w:bottom w:val="single" w:sz="6" w:space="4" w:color="D6DCE4"/>
          <w:right w:val="single" w:sz="6" w:space="4" w:color="D6DCE4"/>
        </w:pBdr>
      </w:pPr>
      <w:r>
        <w:t>{</w:t>
        <w:br/>
        <w:t xml:space="preserve">  "ok": true,</w:t>
        <w:br/>
        <w:t xml:space="preserve">  "table": "Common_Seg_Fct",</w:t>
        <w:br/>
        <w:t xml:space="preserve">  "errors": [],</w:t>
        <w:br/>
        <w:t xml:space="preserve">  "warnings": [],</w:t>
        <w:br/>
        <w:t xml:space="preserve">  "referenced_columns": [</w:t>
        <w:br/>
        <w:t xml:space="preserve">    "COMMON_Data_Local_PayG_Volume",</w:t>
        <w:br/>
        <w:t xml:space="preserve">    "COMMON_Event_Date",</w:t>
        <w:br/>
        <w:t xml:space="preserve">    "Profile_Cdr_Handset_Type"</w:t>
        <w:br/>
        <w:t xml:space="preserve">  ],</w:t>
        <w:br/>
        <w:t xml:space="preserve">  "coverage_terms": ["data", "local", "smartphone"]</w:t>
        <w:br/>
        <w:t>}</w:t>
      </w:r>
    </w:p>
    <w:p>
      <w:r>
        <w:t>Because validation is successful, no retry or clarification is needed. This low-risk Variant 2 case does not require a verifier subagent; a verifier becomes important for low-confidence resolutions and is mandatory for Variant 3 period comparisons.</w:t>
      </w:r>
    </w:p>
    <w:p>
      <w:pPr>
        <w:pStyle w:val="Heading2"/>
      </w:pPr>
      <w:r>
        <w:t>7.9 Final API response</w:t>
      </w:r>
    </w:p>
    <w:p>
      <w:pPr>
        <w:pStyle w:val="CodeBlock"/>
        <w:keepLines/>
        <w:shd w:fill="F4F6F8"/>
        <w:pBdr>
          <w:top w:val="single" w:sz="6" w:space="4" w:color="D6DCE4"/>
          <w:left w:val="single" w:sz="6" w:space="4" w:color="D6DCE4"/>
          <w:bottom w:val="single" w:sz="6" w:space="4" w:color="D6DCE4"/>
          <w:right w:val="single" w:sz="6" w:space="4" w:color="D6DCE4"/>
        </w:pBdr>
      </w:pPr>
      <w:r>
        <w:t>{</w:t>
        <w:br/>
        <w:t xml:space="preserve">  "ok": true,</w:t>
        <w:br/>
        <w:t xml:space="preserve">  "mode": "agent",</w:t>
        <w:br/>
        <w:t xml:space="preserve">  "request_id": "32e2594fe7",</w:t>
        <w:br/>
        <w:t xml:space="preserve">  "parent_condition": "Profile_Cdr_Handset_Type = 'Smartphone' AND COMMON_Event_Date &gt;= CurrentMonth-3MONTHS AND COMMON_Event_Date &lt; CurrentMonth AND SUM(COMMON_Data_Local_PayG_Volume) ${operator} ${value}",</w:t>
        <w:br/>
        <w:t xml:space="preserve">  "selected_columns": [</w:t>
        <w:br/>
        <w:t xml:space="preserve">    "COMMON_Data_Local_PayG_Volume",</w:t>
        <w:br/>
        <w:t xml:space="preserve">    "Profile_Cdr_Handset_Type",</w:t>
        <w:br/>
        <w:t xml:space="preserve">    "COMMON_Event_Date"</w:t>
        <w:br/>
        <w:t xml:space="preserve">  ],</w:t>
        <w:br/>
        <w:t xml:space="preserve">  "seed_id": "S13_last_n_months_bounded",</w:t>
        <w:br/>
        <w:t xml:space="preserve">  "path": "variant2_multi_table_filter_then_aggregate",</w:t>
        <w:br/>
        <w:t xml:space="preserve">  "validation": {"ok": true, "errors": [], "warnings": []}</w:t>
        <w:br/>
        <w:t>}</w:t>
      </w:r>
    </w:p>
    <w:p>
      <w:pPr>
        <w:pStyle w:val="Heading1"/>
      </w:pPr>
      <w:r>
        <w:t>8. How the final result is reached</w:t>
      </w:r>
    </w:p>
    <w:p>
      <w:r>
        <w:t>The final rule is not the output of one prompt or one similarity score. It is the outcome of a staged decision chain with explicit checks:</w:t>
      </w:r>
    </w:p>
    <w:p>
      <w:pPr>
        <w:pStyle w:val="ListNumber"/>
        <w:numPr>
          <w:ilvl w:val="0"/>
          <w:numId w:val="11"/>
        </w:numPr>
      </w:pPr>
      <w:r>
        <w:t>The sentence is decomposed into business roles and possible ambiguities.</w:t>
      </w:r>
    </w:p>
    <w:p>
      <w:pPr>
        <w:pStyle w:val="ListNumber"/>
        <w:numPr>
          <w:ilvl w:val="0"/>
          <w:numId w:val="11"/>
        </w:numPr>
      </w:pPr>
      <w:r>
        <w:t>Deterministic normalization supplies initial evidence; semantic gaps are corrected by the agent.</w:t>
      </w:r>
    </w:p>
    <w:p>
      <w:pPr>
        <w:pStyle w:val="ListNumber"/>
        <w:numPr>
          <w:ilvl w:val="0"/>
          <w:numId w:val="11"/>
        </w:numPr>
      </w:pPr>
      <w:r>
        <w:t>Batched retrieval supplies compact metric, filter, and time candidates with scores and evidence.</w:t>
      </w:r>
    </w:p>
    <w:p>
      <w:pPr>
        <w:pStyle w:val="ListNumber"/>
        <w:numPr>
          <w:ilvl w:val="0"/>
          <w:numId w:val="11"/>
        </w:numPr>
      </w:pPr>
      <w:r>
        <w:t>Routing selects the appropriate data group and configured date column.</w:t>
      </w:r>
    </w:p>
    <w:p>
      <w:pPr>
        <w:pStyle w:val="ListNumber"/>
        <w:numPr>
          <w:ilvl w:val="0"/>
          <w:numId w:val="11"/>
        </w:numPr>
      </w:pPr>
      <w:r>
        <w:t>Seed selection proposes a reusable structure; the agent checks it against the exact time and comparison meaning.</w:t>
      </w:r>
    </w:p>
    <w:p>
      <w:pPr>
        <w:pStyle w:val="ListNumber"/>
        <w:numPr>
          <w:ilvl w:val="0"/>
          <w:numId w:val="11"/>
        </w:numPr>
      </w:pPr>
      <w:r>
        <w:t>The decision is recorded, including any override and its traceable inputs.</w:t>
      </w:r>
    </w:p>
    <w:p>
      <w:pPr>
        <w:pStyle w:val="ListNumber"/>
        <w:numPr>
          <w:ilvl w:val="0"/>
          <w:numId w:val="11"/>
        </w:numPr>
      </w:pPr>
      <w:r>
        <w:t>render_condition alone emits the condition syntax.</w:t>
      </w:r>
    </w:p>
    <w:p>
      <w:pPr>
        <w:pStyle w:val="ListNumber"/>
        <w:numPr>
          <w:ilvl w:val="0"/>
          <w:numId w:val="11"/>
        </w:numPr>
      </w:pPr>
      <w:r>
        <w:t>validate_rule accepts the rule or returns a deterministic failure class.</w:t>
      </w:r>
    </w:p>
    <w:p>
      <w:pPr>
        <w:pStyle w:val="ListNumber"/>
        <w:numPr>
          <w:ilvl w:val="0"/>
          <w:numId w:val="11"/>
        </w:numPr>
      </w:pPr>
      <w:r>
        <w:t>The API returns the compact result while Langfuse retains the complete execution record.</w:t>
      </w:r>
    </w:p>
    <w:p>
      <w:pPr>
        <w:pStyle w:val="Heading1"/>
      </w:pPr>
      <w:r>
        <w:t>9. Failure, clarification, and retry behavior</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Lines/>
              <w:spacing w:after="0"/>
            </w:pPr>
            <w:r>
              <w:rPr>
                <w:b/>
                <w:color w:val="17365D"/>
                <w:sz w:val="17"/>
              </w:rPr>
              <w:t>Situation</w:t>
            </w:r>
          </w:p>
        </w:tc>
        <w:tc>
          <w:tcPr>
            <w:tcW w:type="dxa" w:w="6660"/>
            <w:shd w:fill="E8EEF5"/>
            <w:tcMar>
              <w:top w:w="80" w:type="dxa"/>
              <w:start w:w="120" w:type="dxa"/>
              <w:bottom w:w="80" w:type="dxa"/>
              <w:end w:w="120" w:type="dxa"/>
            </w:tcMar>
            <w:vAlign w:val="center"/>
          </w:tcPr>
          <w:p>
            <w:pPr>
              <w:keepLines/>
              <w:spacing w:after="0"/>
            </w:pPr>
            <w:r>
              <w:rPr>
                <w:b/>
                <w:color w:val="17365D"/>
                <w:sz w:val="17"/>
              </w:rPr>
              <w:t>System behavior</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Business ambiguity</w:t>
            </w:r>
          </w:p>
        </w:tc>
        <w:tc>
          <w:tcPr>
            <w:tcW w:type="dxa" w:w="6660"/>
            <w:tcMar>
              <w:top w:w="80" w:type="dxa"/>
              <w:start w:w="120" w:type="dxa"/>
              <w:bottom w:w="80" w:type="dxa"/>
              <w:end w:w="120" w:type="dxa"/>
            </w:tcMar>
            <w:vAlign w:val="center"/>
          </w:tcPr>
          <w:p>
            <w:pPr>
              <w:keepLines/>
              <w:spacing w:after="20" w:line="252" w:lineRule="auto"/>
            </w:pPr>
            <w:r>
              <w:rPr>
                <w:sz w:val="17"/>
              </w:rPr>
              <w:t>Ask one batched, plain-English clarification question; do not expose internal schema names.</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Column or coverage failure</w:t>
            </w:r>
          </w:p>
        </w:tc>
        <w:tc>
          <w:tcPr>
            <w:tcW w:type="dxa" w:w="6660"/>
            <w:tcMar>
              <w:top w:w="80" w:type="dxa"/>
              <w:start w:w="120" w:type="dxa"/>
              <w:bottom w:w="80" w:type="dxa"/>
              <w:end w:w="120" w:type="dxa"/>
            </w:tcMar>
            <w:vAlign w:val="center"/>
          </w:tcPr>
          <w:p>
            <w:pPr>
              <w:keepLines/>
              <w:spacing w:after="20" w:line="252" w:lineRule="auto"/>
            </w:pPr>
            <w:r>
              <w:rPr>
                <w:sz w:val="17"/>
              </w:rPr>
              <w:t>Retrieve again with the failed column excluded and inspect the next compact candidates.</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Low confidence or missing group coverage</w:t>
            </w:r>
          </w:p>
        </w:tc>
        <w:tc>
          <w:tcPr>
            <w:tcW w:type="dxa" w:w="6660"/>
            <w:tcMar>
              <w:top w:w="80" w:type="dxa"/>
              <w:start w:w="120" w:type="dxa"/>
              <w:bottom w:w="80" w:type="dxa"/>
              <w:end w:w="120" w:type="dxa"/>
            </w:tcMar>
            <w:vAlign w:val="center"/>
          </w:tcPr>
          <w:p>
            <w:pPr>
              <w:keepLines/>
              <w:spacing w:after="20" w:line="252" w:lineRule="auto"/>
            </w:pPr>
            <w:r>
              <w:rPr>
                <w:sz w:val="17"/>
              </w:rPr>
              <w:t>Deterministically expand beyond the default five candidates for the affected role.</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Routing or date failure</w:t>
            </w:r>
          </w:p>
        </w:tc>
        <w:tc>
          <w:tcPr>
            <w:tcW w:type="dxa" w:w="6660"/>
            <w:tcMar>
              <w:top w:w="80" w:type="dxa"/>
              <w:start w:w="120" w:type="dxa"/>
              <w:bottom w:w="80" w:type="dxa"/>
              <w:end w:w="120" w:type="dxa"/>
            </w:tcMar>
            <w:vAlign w:val="center"/>
          </w:tcPr>
          <w:p>
            <w:pPr>
              <w:keepLines/>
              <w:spacing w:after="20" w:line="252" w:lineRule="auto"/>
            </w:pPr>
            <w:r>
              <w:rPr>
                <w:sz w:val="17"/>
              </w:rPr>
              <w:t>Route again using corrected semantic slots and the configured group/date map.</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Seed mismatch</w:t>
            </w:r>
          </w:p>
        </w:tc>
        <w:tc>
          <w:tcPr>
            <w:tcW w:type="dxa" w:w="6660"/>
            <w:tcMar>
              <w:top w:w="80" w:type="dxa"/>
              <w:start w:w="120" w:type="dxa"/>
              <w:bottom w:w="80" w:type="dxa"/>
              <w:end w:w="120" w:type="dxa"/>
            </w:tcMar>
            <w:vAlign w:val="center"/>
          </w:tcPr>
          <w:p>
            <w:pPr>
              <w:keepLines/>
              <w:spacing w:after="20" w:line="252" w:lineRule="auto"/>
            </w:pPr>
            <w:r>
              <w:rPr>
                <w:sz w:val="17"/>
              </w:rPr>
              <w:t>Promote a more appropriate alternative and record proposed-versus-selected seed.</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Render or grammar failure</w:t>
            </w:r>
          </w:p>
        </w:tc>
        <w:tc>
          <w:tcPr>
            <w:tcW w:type="dxa" w:w="6660"/>
            <w:tcMar>
              <w:top w:w="80" w:type="dxa"/>
              <w:start w:w="120" w:type="dxa"/>
              <w:bottom w:w="80" w:type="dxa"/>
              <w:end w:w="120" w:type="dxa"/>
            </w:tcMar>
            <w:vAlign w:val="center"/>
          </w:tcPr>
          <w:p>
            <w:pPr>
              <w:keepLines/>
              <w:spacing w:after="20" w:line="252" w:lineRule="auto"/>
            </w:pPr>
            <w:r>
              <w:rPr>
                <w:sz w:val="17"/>
              </w:rPr>
              <w:t>Stop as a code defect. The model is never asked to patch syntax manually.</w:t>
            </w:r>
          </w:p>
        </w:tc>
      </w:tr>
      <w:tr>
        <w:trPr>
          <w:cantSplit/>
        </w:trPr>
        <w:tc>
          <w:tcPr>
            <w:tcW w:type="dxa" w:w="2700"/>
            <w:tcMar>
              <w:top w:w="80" w:type="dxa"/>
              <w:start w:w="120" w:type="dxa"/>
              <w:bottom w:w="80" w:type="dxa"/>
              <w:end w:w="120" w:type="dxa"/>
            </w:tcMar>
            <w:vAlign w:val="center"/>
          </w:tcPr>
          <w:p>
            <w:pPr>
              <w:keepLines/>
              <w:spacing w:after="20" w:line="252" w:lineRule="auto"/>
            </w:pPr>
            <w:r>
              <w:rPr>
                <w:sz w:val="17"/>
              </w:rPr>
              <w:t>Variant 3 comparison</w:t>
            </w:r>
          </w:p>
        </w:tc>
        <w:tc>
          <w:tcPr>
            <w:tcW w:type="dxa" w:w="6660"/>
            <w:tcMar>
              <w:top w:w="80" w:type="dxa"/>
              <w:start w:w="120" w:type="dxa"/>
              <w:bottom w:w="80" w:type="dxa"/>
              <w:end w:w="120" w:type="dxa"/>
            </w:tcMar>
            <w:vAlign w:val="center"/>
          </w:tcPr>
          <w:p>
            <w:pPr>
              <w:keepLines/>
              <w:spacing w:after="20" w:line="252" w:lineRule="auto"/>
            </w:pPr>
            <w:r>
              <w:rPr>
                <w:sz w:val="17"/>
              </w:rPr>
              <w:t>Use comparison guidance and require verifier review before final acceptance.</w:t>
            </w:r>
          </w:p>
        </w:tc>
      </w:tr>
    </w:tbl>
    <w:p>
      <w:pPr>
        <w:spacing w:after="0"/>
      </w:pPr>
    </w:p>
    <w:p>
      <w:pPr>
        <w:pStyle w:val="Heading1"/>
      </w:pPr>
      <w:r>
        <w:t>10. Operational guarantees</w:t>
      </w:r>
    </w:p>
    <w:p>
      <w:pPr>
        <w:pStyle w:val="ListBullet"/>
      </w:pPr>
      <w:r>
        <w:t>Client is mandatory and never inferred from the marketer’s sentence.</w:t>
      </w:r>
    </w:p>
    <w:p>
      <w:pPr>
        <w:pStyle w:val="ListBullet"/>
      </w:pPr>
      <w:r>
        <w:t>The model owns meaning; deterministic components own evidence, invariants, rendering, and validation.</w:t>
      </w:r>
    </w:p>
    <w:p>
      <w:pPr>
        <w:pStyle w:val="ListBullet"/>
      </w:pPr>
      <w:r>
        <w:t>Only render_condition emits PARENT_CONDITION syntax.</w:t>
      </w:r>
    </w:p>
    <w:p>
      <w:pPr>
        <w:pStyle w:val="ListBullet"/>
      </w:pPr>
      <w:r>
        <w:t>Retrieval and seed selection are auditable recommendations, not irreversible decisions.</w:t>
      </w:r>
    </w:p>
    <w:p>
      <w:pPr>
        <w:pStyle w:val="ListBullet"/>
      </w:pPr>
      <w:r>
        <w:t>Compact context reduces tokens without deleting the complete ranking or decision history.</w:t>
      </w:r>
    </w:p>
    <w:p>
      <w:pPr>
        <w:pStyle w:val="ListBullet"/>
      </w:pPr>
      <w:r>
        <w:t>Every completed request can be joined across API logs, request state, and Langfuse using request_id.</w:t>
      </w:r>
    </w:p>
    <w:p>
      <w:pPr>
        <w:pStyle w:val="ListBullet"/>
      </w:pPr>
      <w:r>
        <w:t>Clarifications are written for marketers; internal table, group, and column names stay hidden unless explicitly requested.</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4EA"/>
            <w:tcBorders>
              <w:top w:val="single" w:sz="8" w:color="2E74B5"/>
              <w:start w:val="single" w:sz="16" w:color="2E74B5"/>
              <w:bottom w:val="single" w:sz="8" w:color="2E74B5"/>
              <w:end w:val="single" w:sz="8" w:color="2E74B5"/>
            </w:tcBorders>
          </w:tcPr>
          <w:p>
            <w:pPr>
              <w:pStyle w:val="Callout"/>
            </w:pPr>
            <w:r>
              <w:rPr>
                <w:b/>
              </w:rPr>
              <w:t xml:space="preserve">Summary: </w:t>
            </w:r>
            <w:r>
              <w:t>The optimized VP agent is best understood as an auditable decision pipeline: skills guide interpretation, tools expose compact evidence, the orchestrator resolves meaning, the renderer emits syntax, and the validator determines whether the rule is safe to return.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6"/>
      </w:rPr>
      <w:t>VIRTUAL PROFILE AGENT  |  PROCESSING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Light" w:hAnsi="Calibri Light"/>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pPr>
    <w:rPr>
      <w:rFonts w:asciiTheme="majorHAnsi" w:eastAsiaTheme="majorEastAsia" w:hAnsiTheme="majorHAnsi" w:cstheme="majorBidi" w:ascii="Calibri" w:hAnsi="Calibri"/>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30" w:right="230"/>
    </w:pPr>
    <w:rPr>
      <w:rFonts w:ascii="Consolas" w:hAnsi="Consolas"/>
      <w:color w:val="1F2937"/>
      <w:sz w:val="17"/>
    </w:rPr>
  </w:style>
  <w:style w:type="paragraph" w:customStyle="1" w:styleId="Callout">
    <w:name w:val="Callout"/>
    <w:pPr>
      <w:spacing w:before="80" w:after="80" w:line="288" w:lineRule="auto"/>
      <w:ind w:left="173" w:right="173"/>
    </w:pPr>
    <w:rPr>
      <w:rFonts w:ascii="Calibri" w:hAnsi="Calibri"/>
      <w:color w:val="1F4D78"/>
      <w:sz w:val="21"/>
    </w:rPr>
  </w:style>
  <w:style w:type="paragraph" w:customStyle="1" w:styleId="SmallText">
    <w:name w:val="Small Text"/>
    <w:pPr>
      <w:spacing w:after="80" w:line="276"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Profile Agent Processing Guide</dc:title>
  <dc:subject>VP agent skills, tools, rendering, validation, and worked Omantel example</dc:subject>
  <dc:creator>VP Agent Team</dc:creator>
  <cp:keywords>virtual profile, Omantel, agent, skills, tools, Langfuse, audit</cp:keywords>
  <dc:description>generated by python-docx</dc:description>
  <cp:lastModifiedBy/>
  <cp:revision>1</cp:revision>
  <dcterms:created xsi:type="dcterms:W3CDTF">2013-12-23T23:15:00Z</dcterms:created>
  <dcterms:modified xsi:type="dcterms:W3CDTF">2013-12-23T23:15:00Z</dcterms:modified>
  <cp:category/>
</cp:coreProperties>
</file>