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r>
        <w:t xml:space="preserve">Optimal control strategies to prevent the hospital beds collapse during Covid-19 </w:t>
      </w:r>
      <w:proofErr w:type="gramStart"/>
      <w:r>
        <w:t>outbreak</w:t>
      </w:r>
      <w:proofErr w:type="gramEnd"/>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264712A3"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CC05D9">
        <w:rPr>
          <w:rFonts w:ascii="Times New Roman" w:hAnsi="Times New Roman" w:cs="Times New Roman"/>
          <w:sz w:val="24"/>
          <w:szCs w:val="24"/>
          <w:highlight w:val="yellow"/>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w:t>
      </w:r>
      <w:proofErr w:type="gramStart"/>
      <w:r>
        <w:rPr>
          <w:rFonts w:ascii="Times New Roman" w:hAnsi="Times New Roman" w:cs="Times New Roman"/>
          <w:sz w:val="24"/>
          <w:szCs w:val="24"/>
        </w:rPr>
        <w:t>in particular how</w:t>
      </w:r>
      <w:proofErr w:type="gramEnd"/>
      <w:r>
        <w:rPr>
          <w:rFonts w:ascii="Times New Roman" w:hAnsi="Times New Roman" w:cs="Times New Roman"/>
          <w:sz w:val="24"/>
          <w:szCs w:val="24"/>
        </w:rPr>
        <w:t xml:space="preserve"> these controls should be tuned in order to avoid the hospital beds collapse. </w:t>
      </w:r>
      <w:r>
        <w:rPr>
          <w:rFonts w:ascii="Times New Roman" w:hAnsi="Times New Roman" w:cs="KdvpnkMinionProRegular"/>
          <w:color w:val="131413"/>
          <w:sz w:val="24"/>
          <w:szCs w:val="24"/>
        </w:rPr>
        <w:t>The optimal control analysis was carried out using the 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 xml:space="preserve">s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CC05D9">
        <w:rPr>
          <w:rFonts w:ascii="Times New Roman" w:hAnsi="Times New Roman" w:cs="KdvpnkMinionProRegular"/>
          <w:color w:val="131413"/>
          <w:sz w:val="24"/>
          <w:szCs w:val="24"/>
          <w:highlight w:val="yellow"/>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7A6EFE0F" w14:textId="330E0090" w:rsidR="00931EA9" w:rsidRDefault="002D576A">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7846358" w:history="1">
            <w:r w:rsidR="00931EA9" w:rsidRPr="00CD1DD2">
              <w:rPr>
                <w:rStyle w:val="Collegamentoipertestuale"/>
                <w:noProof/>
              </w:rPr>
              <w:t>1. Introduction</w:t>
            </w:r>
            <w:r w:rsidR="00931EA9">
              <w:rPr>
                <w:noProof/>
              </w:rPr>
              <w:tab/>
            </w:r>
            <w:r w:rsidR="00931EA9">
              <w:rPr>
                <w:noProof/>
              </w:rPr>
              <w:fldChar w:fldCharType="begin"/>
            </w:r>
            <w:r w:rsidR="00931EA9">
              <w:rPr>
                <w:noProof/>
              </w:rPr>
              <w:instrText xml:space="preserve"> PAGEREF _Toc67846358 \h </w:instrText>
            </w:r>
            <w:r w:rsidR="00931EA9">
              <w:rPr>
                <w:noProof/>
              </w:rPr>
            </w:r>
            <w:r w:rsidR="00931EA9">
              <w:rPr>
                <w:noProof/>
              </w:rPr>
              <w:fldChar w:fldCharType="separate"/>
            </w:r>
            <w:r w:rsidR="00931EA9">
              <w:rPr>
                <w:noProof/>
              </w:rPr>
              <w:t>2</w:t>
            </w:r>
            <w:r w:rsidR="00931EA9">
              <w:rPr>
                <w:noProof/>
              </w:rPr>
              <w:fldChar w:fldCharType="end"/>
            </w:r>
          </w:hyperlink>
        </w:p>
        <w:p w14:paraId="0F156E6D" w14:textId="4E604B52" w:rsidR="00931EA9" w:rsidRDefault="00931EA9">
          <w:pPr>
            <w:pStyle w:val="Sommario1"/>
            <w:rPr>
              <w:rFonts w:eastAsiaTheme="minorEastAsia" w:cstheme="minorBidi"/>
              <w:noProof/>
              <w:lang w:val="it-IT" w:eastAsia="it-IT"/>
            </w:rPr>
          </w:pPr>
          <w:hyperlink w:anchor="_Toc67846359" w:history="1">
            <w:r w:rsidRPr="00CD1DD2">
              <w:rPr>
                <w:rStyle w:val="Collegamentoipertestuale"/>
                <w:noProof/>
              </w:rPr>
              <w:t>2. Methods</w:t>
            </w:r>
            <w:r>
              <w:rPr>
                <w:noProof/>
              </w:rPr>
              <w:tab/>
            </w:r>
            <w:r>
              <w:rPr>
                <w:noProof/>
              </w:rPr>
              <w:fldChar w:fldCharType="begin"/>
            </w:r>
            <w:r>
              <w:rPr>
                <w:noProof/>
              </w:rPr>
              <w:instrText xml:space="preserve"> PAGEREF _Toc67846359 \h </w:instrText>
            </w:r>
            <w:r>
              <w:rPr>
                <w:noProof/>
              </w:rPr>
            </w:r>
            <w:r>
              <w:rPr>
                <w:noProof/>
              </w:rPr>
              <w:fldChar w:fldCharType="separate"/>
            </w:r>
            <w:r>
              <w:rPr>
                <w:noProof/>
              </w:rPr>
              <w:t>4</w:t>
            </w:r>
            <w:r>
              <w:rPr>
                <w:noProof/>
              </w:rPr>
              <w:fldChar w:fldCharType="end"/>
            </w:r>
          </w:hyperlink>
        </w:p>
        <w:p w14:paraId="443A1181" w14:textId="0BDC1D69" w:rsidR="00931EA9" w:rsidRDefault="00931EA9">
          <w:pPr>
            <w:pStyle w:val="Sommario2"/>
            <w:rPr>
              <w:rFonts w:eastAsiaTheme="minorEastAsia" w:cstheme="minorBidi"/>
              <w:noProof/>
              <w:lang w:val="it-IT" w:eastAsia="it-IT"/>
            </w:rPr>
          </w:pPr>
          <w:hyperlink w:anchor="_Toc67846360" w:history="1">
            <w:r w:rsidRPr="00CD1DD2">
              <w:rPr>
                <w:rStyle w:val="Collegamentoipertestuale"/>
                <w:noProof/>
              </w:rPr>
              <w:t>2.1 Mathematical Model</w:t>
            </w:r>
            <w:r>
              <w:rPr>
                <w:noProof/>
              </w:rPr>
              <w:tab/>
            </w:r>
            <w:r>
              <w:rPr>
                <w:noProof/>
              </w:rPr>
              <w:fldChar w:fldCharType="begin"/>
            </w:r>
            <w:r>
              <w:rPr>
                <w:noProof/>
              </w:rPr>
              <w:instrText xml:space="preserve"> PAGEREF _Toc67846360 \h </w:instrText>
            </w:r>
            <w:r>
              <w:rPr>
                <w:noProof/>
              </w:rPr>
            </w:r>
            <w:r>
              <w:rPr>
                <w:noProof/>
              </w:rPr>
              <w:fldChar w:fldCharType="separate"/>
            </w:r>
            <w:r>
              <w:rPr>
                <w:noProof/>
              </w:rPr>
              <w:t>4</w:t>
            </w:r>
            <w:r>
              <w:rPr>
                <w:noProof/>
              </w:rPr>
              <w:fldChar w:fldCharType="end"/>
            </w:r>
          </w:hyperlink>
        </w:p>
        <w:p w14:paraId="02BE6DC4" w14:textId="2A972D90" w:rsidR="00931EA9" w:rsidRDefault="00931EA9">
          <w:pPr>
            <w:pStyle w:val="Sommario2"/>
            <w:rPr>
              <w:rFonts w:eastAsiaTheme="minorEastAsia" w:cstheme="minorBidi"/>
              <w:noProof/>
              <w:lang w:val="it-IT" w:eastAsia="it-IT"/>
            </w:rPr>
          </w:pPr>
          <w:hyperlink w:anchor="_Toc67846361" w:history="1">
            <w:r w:rsidRPr="00CD1DD2">
              <w:rPr>
                <w:rStyle w:val="Collegamentoipertestuale"/>
                <w:rFonts w:eastAsia="Noto Sans CJK SC"/>
                <w:noProof/>
              </w:rPr>
              <w:t>2.2 Model Fitting</w:t>
            </w:r>
            <w:r>
              <w:rPr>
                <w:noProof/>
              </w:rPr>
              <w:tab/>
            </w:r>
            <w:r>
              <w:rPr>
                <w:noProof/>
              </w:rPr>
              <w:fldChar w:fldCharType="begin"/>
            </w:r>
            <w:r>
              <w:rPr>
                <w:noProof/>
              </w:rPr>
              <w:instrText xml:space="preserve"> PAGEREF _Toc67846361 \h </w:instrText>
            </w:r>
            <w:r>
              <w:rPr>
                <w:noProof/>
              </w:rPr>
            </w:r>
            <w:r>
              <w:rPr>
                <w:noProof/>
              </w:rPr>
              <w:fldChar w:fldCharType="separate"/>
            </w:r>
            <w:r>
              <w:rPr>
                <w:noProof/>
              </w:rPr>
              <w:t>10</w:t>
            </w:r>
            <w:r>
              <w:rPr>
                <w:noProof/>
              </w:rPr>
              <w:fldChar w:fldCharType="end"/>
            </w:r>
          </w:hyperlink>
        </w:p>
        <w:p w14:paraId="5E859AE5" w14:textId="0ABC037B" w:rsidR="00931EA9" w:rsidRDefault="00931EA9">
          <w:pPr>
            <w:pStyle w:val="Sommario2"/>
            <w:rPr>
              <w:rFonts w:eastAsiaTheme="minorEastAsia" w:cstheme="minorBidi"/>
              <w:noProof/>
              <w:lang w:val="it-IT" w:eastAsia="it-IT"/>
            </w:rPr>
          </w:pPr>
          <w:hyperlink w:anchor="_Toc67846362" w:history="1">
            <w:r w:rsidRPr="00CD1DD2">
              <w:rPr>
                <w:rStyle w:val="Collegamentoipertestuale"/>
                <w:rFonts w:eastAsia="Noto Sans CJK SC"/>
                <w:noProof/>
              </w:rPr>
              <w:t>2.3 Optimal Control strategy</w:t>
            </w:r>
            <w:r>
              <w:rPr>
                <w:noProof/>
              </w:rPr>
              <w:tab/>
            </w:r>
            <w:r>
              <w:rPr>
                <w:noProof/>
              </w:rPr>
              <w:fldChar w:fldCharType="begin"/>
            </w:r>
            <w:r>
              <w:rPr>
                <w:noProof/>
              </w:rPr>
              <w:instrText xml:space="preserve"> PAGEREF _Toc67846362 \h </w:instrText>
            </w:r>
            <w:r>
              <w:rPr>
                <w:noProof/>
              </w:rPr>
            </w:r>
            <w:r>
              <w:rPr>
                <w:noProof/>
              </w:rPr>
              <w:fldChar w:fldCharType="separate"/>
            </w:r>
            <w:r>
              <w:rPr>
                <w:noProof/>
              </w:rPr>
              <w:t>11</w:t>
            </w:r>
            <w:r>
              <w:rPr>
                <w:noProof/>
              </w:rPr>
              <w:fldChar w:fldCharType="end"/>
            </w:r>
          </w:hyperlink>
        </w:p>
        <w:p w14:paraId="469420DB" w14:textId="5AFA94A9" w:rsidR="00931EA9" w:rsidRDefault="00931EA9">
          <w:pPr>
            <w:pStyle w:val="Sommario1"/>
            <w:rPr>
              <w:rFonts w:eastAsiaTheme="minorEastAsia" w:cstheme="minorBidi"/>
              <w:noProof/>
              <w:lang w:val="it-IT" w:eastAsia="it-IT"/>
            </w:rPr>
          </w:pPr>
          <w:hyperlink w:anchor="_Toc67846363" w:history="1">
            <w:r w:rsidRPr="00CD1DD2">
              <w:rPr>
                <w:rStyle w:val="Collegamentoipertestuale"/>
                <w:noProof/>
              </w:rPr>
              <w:t>3. Results and discussion (Numerical Simulations and Discussion)</w:t>
            </w:r>
            <w:r>
              <w:rPr>
                <w:noProof/>
              </w:rPr>
              <w:tab/>
            </w:r>
            <w:r>
              <w:rPr>
                <w:noProof/>
              </w:rPr>
              <w:fldChar w:fldCharType="begin"/>
            </w:r>
            <w:r>
              <w:rPr>
                <w:noProof/>
              </w:rPr>
              <w:instrText xml:space="preserve"> PAGEREF _Toc67846363 \h </w:instrText>
            </w:r>
            <w:r>
              <w:rPr>
                <w:noProof/>
              </w:rPr>
            </w:r>
            <w:r>
              <w:rPr>
                <w:noProof/>
              </w:rPr>
              <w:fldChar w:fldCharType="separate"/>
            </w:r>
            <w:r>
              <w:rPr>
                <w:noProof/>
              </w:rPr>
              <w:t>20</w:t>
            </w:r>
            <w:r>
              <w:rPr>
                <w:noProof/>
              </w:rPr>
              <w:fldChar w:fldCharType="end"/>
            </w:r>
          </w:hyperlink>
        </w:p>
        <w:p w14:paraId="3BBD3DFC" w14:textId="1A1AF884" w:rsidR="00931EA9" w:rsidRDefault="00931EA9">
          <w:pPr>
            <w:pStyle w:val="Sommario1"/>
            <w:rPr>
              <w:rFonts w:eastAsiaTheme="minorEastAsia" w:cstheme="minorBidi"/>
              <w:noProof/>
              <w:lang w:val="it-IT" w:eastAsia="it-IT"/>
            </w:rPr>
          </w:pPr>
          <w:hyperlink w:anchor="_Toc67846364" w:history="1">
            <w:r w:rsidRPr="00CD1DD2">
              <w:rPr>
                <w:rStyle w:val="Collegamentoipertestuale"/>
                <w:noProof/>
              </w:rPr>
              <w:t>References</w:t>
            </w:r>
            <w:r>
              <w:rPr>
                <w:noProof/>
              </w:rPr>
              <w:tab/>
            </w:r>
            <w:r>
              <w:rPr>
                <w:noProof/>
              </w:rPr>
              <w:fldChar w:fldCharType="begin"/>
            </w:r>
            <w:r>
              <w:rPr>
                <w:noProof/>
              </w:rPr>
              <w:instrText xml:space="preserve"> PAGEREF _Toc67846364 \h </w:instrText>
            </w:r>
            <w:r>
              <w:rPr>
                <w:noProof/>
              </w:rPr>
            </w:r>
            <w:r>
              <w:rPr>
                <w:noProof/>
              </w:rPr>
              <w:fldChar w:fldCharType="separate"/>
            </w:r>
            <w:r>
              <w:rPr>
                <w:noProof/>
              </w:rPr>
              <w:t>32</w:t>
            </w:r>
            <w:r>
              <w:rPr>
                <w:noProof/>
              </w:rPr>
              <w:fldChar w:fldCharType="end"/>
            </w:r>
          </w:hyperlink>
        </w:p>
        <w:p w14:paraId="01FB7260" w14:textId="65FFD0E0"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0" w:name="_Toc67846358"/>
      <w:r>
        <w:t>1. Introduction</w:t>
      </w:r>
      <w:bookmarkEnd w:id="0"/>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1E53E602"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affected. </w:t>
      </w:r>
      <w:r w:rsidRPr="00CC05D9">
        <w:rPr>
          <w:rFonts w:ascii="Times New Roman" w:hAnsi="Times New Roman" w:cs="Times New Roman"/>
          <w:color w:val="131413"/>
          <w:sz w:val="24"/>
          <w:szCs w:val="24"/>
          <w:highlight w:val="yellow"/>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xml:space="preserve">. A campaign to identify and screen all close contacts with confirmed cases of COVID-19 resulted in taking 691,461 nasal swabs as of 5 April </w:t>
      </w:r>
      <w:proofErr w:type="gramStart"/>
      <w:r>
        <w:rPr>
          <w:rFonts w:ascii="Times New Roman" w:hAnsi="Times New Roman" w:cs="Times New Roman"/>
          <w:color w:val="131413"/>
          <w:sz w:val="24"/>
          <w:szCs w:val="24"/>
        </w:rPr>
        <w:t>2020</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proofErr w:type="gramEnd"/>
      <w:r>
        <w:rPr>
          <w:rFonts w:ascii="Times New Roman" w:hAnsi="Times New Roman" w:cs="Times New Roman"/>
          <w:color w:val="131413"/>
          <w:sz w:val="24"/>
          <w:szCs w:val="24"/>
        </w:rPr>
        <w:t xml:space="preserve">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SARS-CoV and MERS-CoV.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a large number of</w:t>
      </w:r>
      <w:proofErr w:type="gramEnd"/>
      <w:r>
        <w:rPr>
          <w:rFonts w:ascii="Times New Roman" w:hAnsi="Times New Roman" w:cs="Times New Roman"/>
          <w:color w:val="131413"/>
          <w:sz w:val="24"/>
          <w:szCs w:val="24"/>
        </w:rPr>
        <w:t xml:space="preserve">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SARS-CoV and MERS-CoV.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322EEA62" w14:textId="53C28300" w:rsidR="00450FD3" w:rsidRDefault="002D576A">
      <w:pPr>
        <w:spacing w:after="0" w:line="480" w:lineRule="auto"/>
        <w:jc w:val="both"/>
        <w:rPr>
          <w:rFonts w:ascii="Times New Roman" w:hAnsi="Times New Roman"/>
        </w:rPr>
      </w:pPr>
      <w:r w:rsidRPr="00CC05D9">
        <w:rPr>
          <w:rFonts w:ascii="Times New Roman" w:hAnsi="Times New Roman" w:cs="Times New Roman"/>
          <w:color w:val="131413"/>
          <w:sz w:val="24"/>
          <w:szCs w:val="24"/>
          <w:highlight w:val="red"/>
        </w:rPr>
        <w:t xml:space="preserve">Regrettably, the spread of the virus and mortality due to COVID-19 has continued to increase daily. Hence, it is imperative to control the spread of the disease particularly using </w:t>
      </w:r>
      <w:r w:rsidR="0001552F" w:rsidRPr="00CC05D9">
        <w:rPr>
          <w:rFonts w:ascii="Times New Roman" w:hAnsi="Times New Roman" w:cs="Times New Roman"/>
          <w:color w:val="131413"/>
          <w:sz w:val="24"/>
          <w:szCs w:val="24"/>
          <w:highlight w:val="red"/>
        </w:rPr>
        <w:t>different</w:t>
      </w:r>
      <w:r w:rsidRPr="00CC05D9">
        <w:rPr>
          <w:rFonts w:ascii="Times New Roman" w:hAnsi="Times New Roman" w:cs="Times New Roman"/>
          <w:color w:val="131413"/>
          <w:sz w:val="24"/>
          <w:szCs w:val="24"/>
          <w:highlight w:val="red"/>
        </w:rPr>
        <w:t xml:space="preserve"> strategies </w:t>
      </w:r>
      <w:r w:rsidR="0001552F" w:rsidRPr="00CC05D9">
        <w:rPr>
          <w:rFonts w:ascii="Times New Roman" w:hAnsi="Times New Roman" w:cs="Times New Roman"/>
          <w:color w:val="131413"/>
          <w:sz w:val="24"/>
          <w:szCs w:val="24"/>
          <w:highlight w:val="red"/>
        </w:rPr>
        <w:t>applied on the different compartments.</w:t>
      </w:r>
    </w:p>
    <w:p w14:paraId="4CE27257"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modeling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1" w:name="_Toc67846359"/>
      <w:r>
        <w:t>2. Methods</w:t>
      </w:r>
      <w:bookmarkEnd w:id="1"/>
    </w:p>
    <w:p w14:paraId="1D88C857" w14:textId="77777777" w:rsidR="00450FD3" w:rsidRDefault="002D576A">
      <w:pPr>
        <w:pStyle w:val="Titolo2"/>
      </w:pPr>
      <w:bookmarkStart w:id="2" w:name="_Toc67846360"/>
      <w:r>
        <w:t>2.1 Mathematical Model</w:t>
      </w:r>
      <w:bookmarkEnd w:id="2"/>
      <w:r>
        <w:t xml:space="preserve"> </w:t>
      </w:r>
    </w:p>
    <w:p w14:paraId="237A7AF6" w14:textId="77777777"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CCC028A"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14:paraId="298A3370"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can not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can not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in 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CC05D9">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CC05D9">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CC05D9">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CC05D9">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CC05D9">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CC05D9">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CC05D9">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CC05D9">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The model in Equation (1) subdivides human population into eight mutually exclusive compartments defined previously.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population in each stage; the considered parameters, denoted by lowercase Greek and Latin letters, are positive numbers. The interactions among different stages of infection are visually represented in </w:t>
      </w:r>
      <w:r>
        <w:rPr>
          <w:rFonts w:ascii="Times New Roman" w:hAnsi="Times New Roman" w:cs="KdvpnkMinionProRegular"/>
          <w:color w:val="131413"/>
          <w:sz w:val="24"/>
          <w:szCs w:val="24"/>
        </w:rPr>
        <w:lastRenderedPageBreak/>
        <w:t>the block diagram in Fig.1. Now we will describe the variation of each compartment to understand how the different terms flow through the system and how the different compartments interact among them:</w:t>
      </w:r>
    </w:p>
    <w:p w14:paraId="5AB55609" w14:textId="4D734449"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A01717">
        <w:rPr>
          <w:rFonts w:ascii="Times New Roman" w:eastAsiaTheme="minorEastAsia" w:hAnsi="Times New Roman" w:cs="KdvpnkMinionProRegular"/>
          <w:sz w:val="24"/>
          <w:szCs w:val="24"/>
          <w:highlight w:val="yellow"/>
        </w:rPr>
        <w:t>but not detected by testing individual</w:t>
      </w:r>
      <w:r>
        <w:rPr>
          <w:rFonts w:ascii="Times New Roman" w:eastAsiaTheme="minorEastAsia" w:hAnsi="Times New Roman" w:cs="KdvpnkMinionProRegular"/>
          <w:sz w:val="24"/>
          <w:szCs w:val="24"/>
        </w:rPr>
        <w:t xml:space="preserve">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the latter term is mitigated by a preventive control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229FF709"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A01717">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B96A282"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r>
          <w:rPr>
            <w:rFonts w:ascii="Cambria Math" w:hAnsi="Cambria Math"/>
          </w:rPr>
          <m:t>)</m:t>
        </m:r>
      </m:oMath>
      <w:r w:rsidR="00A01717">
        <w:rPr>
          <w:rFonts w:ascii="Times New Roman" w:eastAsiaTheme="minorEastAsia" w:hAnsi="Times New Roman" w:cs="KdvpnkMinionProRegular"/>
          <w:sz w:val="24"/>
          <w:szCs w:val="24"/>
        </w:rPr>
        <w:t xml:space="preserve">. </w:t>
      </w:r>
      <w:r w:rsidR="00A01717">
        <w:rPr>
          <w:rFonts w:ascii="Times New Roman" w:eastAsiaTheme="minorEastAsia" w:hAnsi="Times New Roman" w:cs="KdvpnkMinionProRegular"/>
          <w:sz w:val="24"/>
          <w:szCs w:val="24"/>
        </w:rPr>
        <w:t>Now</w:t>
      </w:r>
      <w:r w:rsidR="00A01717">
        <w:rPr>
          <w:rFonts w:ascii="Times New Roman" w:eastAsiaTheme="minorEastAsia" w:hAnsi="Times New Roman" w:cs="KdvpnkMinionProRegular"/>
          <w:sz w:val="24"/>
          <w:szCs w:val="24"/>
        </w:rPr>
        <w:t xml:space="preserve"> </w:t>
      </w:r>
      <w:r w:rsidR="00A01717">
        <w:rPr>
          <w:rFonts w:ascii="Times New Roman" w:eastAsiaTheme="minorEastAsia" w:hAnsi="Times New Roman" w:cs="KdvpnkMinionProRegular"/>
          <w:sz w:val="24"/>
          <w:szCs w:val="24"/>
        </w:rPr>
        <w:t xml:space="preserve">those </w:t>
      </w:r>
      <w:r>
        <w:rPr>
          <w:rFonts w:ascii="Times New Roman" w:eastAsiaTheme="minorEastAsia" w:hAnsi="Times New Roman" w:cs="KdvpnkMinionProRegular"/>
          <w:sz w:val="24"/>
          <w:szCs w:val="24"/>
        </w:rPr>
        <w:t xml:space="preserve">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038ADA2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 xml:space="preserve">that represents the </w:t>
      </w:r>
      <w:r>
        <w:rPr>
          <w:rFonts w:ascii="Times New Roman" w:eastAsiaTheme="minorEastAsia" w:hAnsi="Times New Roman" w:cs="KdvpnkMinionProRegular"/>
          <w:iCs/>
          <w:sz w:val="24"/>
          <w:szCs w:val="24"/>
        </w:rPr>
        <w:lastRenderedPageBreak/>
        <w:t>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xml:space="preserve">), </w:t>
      </w:r>
      <w:proofErr w:type="gramStart"/>
      <w:r>
        <w:rPr>
          <w:rFonts w:ascii="Times New Roman" w:eastAsiaTheme="minorEastAsia" w:hAnsi="Times New Roman" w:cs="KdvpnkMinionProRegular"/>
          <w:sz w:val="24"/>
          <w:szCs w:val="24"/>
        </w:rPr>
        <w:t>an</w:t>
      </w:r>
      <w:proofErr w:type="gramEnd"/>
      <w:r>
        <w:rPr>
          <w:rFonts w:ascii="Times New Roman" w:eastAsiaTheme="minorEastAsia" w:hAnsi="Times New Roman" w:cs="KdvpnkMinionProRegular"/>
          <w:sz w:val="24"/>
          <w:szCs w:val="24"/>
        </w:rPr>
        <w:t xml:space="preserve">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or </w:t>
      </w:r>
      <w:r>
        <w:rPr>
          <w:rFonts w:ascii="Times New Roman" w:eastAsiaTheme="minorEastAsia" w:hAnsi="Times New Roman" w:cs="KdvpnkMinionProRegular"/>
          <w:sz w:val="24"/>
          <w:szCs w:val="24"/>
        </w:rPr>
        <w:t>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BBEE074"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01098E">
        <w:rPr>
          <w:rFonts w:ascii="Times New Roman" w:eastAsiaTheme="minorEastAsia" w:hAnsi="Times New Roman" w:cs="KdvpnkMinionProRegular"/>
          <w:sz w:val="24"/>
          <w:szCs w:val="24"/>
          <w:highlight w:val="yellow"/>
        </w:rPr>
        <w:t>The reasons that are the causes of a decreasing evolution are pointed out by the following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1</m:t>
            </m:r>
            <m:r>
              <w:rPr>
                <w:rFonts w:ascii="Cambria Math" w:hAnsi="Cambria Math"/>
              </w:rPr>
              <m:t xml:space="preserve"> </m:t>
            </m:r>
          </m:sub>
        </m:sSub>
      </m:oMath>
      <w:r w:rsidR="0001098E">
        <w:rPr>
          <w:rFonts w:ascii="Times New Roman" w:eastAsiaTheme="minorEastAsia" w:hAnsi="Times New Roman" w:cs="KdvpnkMinionProRegular"/>
          <w:sz w:val="24"/>
          <w:szCs w:val="24"/>
        </w:rPr>
        <w:t>and the</w:t>
      </w:r>
      <w:r w:rsidR="00E85A3A">
        <w:rPr>
          <w:rFonts w:ascii="Times New Roman" w:eastAsiaTheme="minorEastAsia" w:hAnsi="Times New Roman" w:cs="KdvpnkMinionProRegular"/>
          <w:sz w:val="24"/>
          <w:szCs w:val="24"/>
        </w:rPr>
        <w:t xml:space="preserve"> care</w:t>
      </w:r>
      <w:r w:rsidR="0001098E">
        <w:rPr>
          <w:rFonts w:ascii="Times New Roman" w:eastAsiaTheme="minorEastAsia" w:hAnsi="Times New Roman" w:cs="KdvpnkMinionProRegular"/>
          <w:sz w:val="24"/>
          <w:szCs w:val="24"/>
        </w:rPr>
        <w:t xml:space="preserve"> 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0001098E">
        <w:rPr>
          <w:rFonts w:ascii="Times New Roman" w:eastAsiaTheme="minorEastAsia" w:hAnsi="Times New Roman" w:cs="KdvpnkMinionProRegular"/>
          <w:sz w:val="24"/>
          <w:szCs w:val="24"/>
          <w:lang w:val="it-IT"/>
        </w:rPr>
        <w:t>.</w:t>
      </w:r>
    </w:p>
    <w:p w14:paraId="7DB36518" w14:textId="58BBA31D"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E85A3A">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t>
      </w:r>
      <w:r w:rsidRPr="00E85A3A">
        <w:rPr>
          <w:rFonts w:ascii="Times New Roman" w:eastAsiaTheme="minorEastAsia" w:hAnsi="Times New Roman" w:cs="KdvpnkMinionProRegular"/>
          <w:sz w:val="24"/>
          <w:szCs w:val="24"/>
          <w:highlight w:val="red"/>
        </w:rPr>
        <w:t xml:space="preserve">(with effectiveness of the two controls </w:t>
      </w:r>
      <m:oMath>
        <m:sSub>
          <m:sSubPr>
            <m:ctrlPr>
              <w:rPr>
                <w:rFonts w:ascii="Cambria Math" w:hAnsi="Cambria Math"/>
                <w:highlight w:val="red"/>
              </w:rPr>
            </m:ctrlPr>
          </m:sSubPr>
          <m:e>
            <m:r>
              <w:rPr>
                <w:rFonts w:ascii="Cambria Math" w:hAnsi="Cambria Math"/>
                <w:highlight w:val="red"/>
              </w:rPr>
              <m:t>ρ</m:t>
            </m:r>
          </m:e>
          <m:sub>
            <m:r>
              <w:rPr>
                <w:rFonts w:ascii="Cambria Math" w:hAnsi="Cambria Math"/>
                <w:highlight w:val="red"/>
              </w:rPr>
              <m:t>1</m:t>
            </m:r>
          </m:sub>
        </m:sSub>
      </m:oMath>
      <w:r w:rsidRPr="00E85A3A">
        <w:rPr>
          <w:rFonts w:ascii="Times New Roman" w:eastAsiaTheme="minorEastAsia" w:hAnsi="Times New Roman" w:cs="KdvpnkMinionProRegular"/>
          <w:sz w:val="24"/>
          <w:szCs w:val="24"/>
          <w:highlight w:val="red"/>
        </w:rPr>
        <w:t xml:space="preserve">, </w:t>
      </w:r>
      <m:oMath>
        <m:sSub>
          <m:sSubPr>
            <m:ctrlPr>
              <w:rPr>
                <w:rFonts w:ascii="Cambria Math" w:hAnsi="Cambria Math"/>
                <w:highlight w:val="red"/>
              </w:rPr>
            </m:ctrlPr>
          </m:sSubPr>
          <m:e>
            <m:r>
              <w:rPr>
                <w:rFonts w:ascii="Cambria Math" w:hAnsi="Cambria Math"/>
                <w:highlight w:val="red"/>
              </w:rPr>
              <m:t>ρ</m:t>
            </m:r>
          </m:e>
          <m:sub>
            <m:r>
              <w:rPr>
                <w:rFonts w:ascii="Cambria Math" w:hAnsi="Cambria Math"/>
                <w:highlight w:val="red"/>
              </w:rPr>
              <m:t>2</m:t>
            </m:r>
          </m:sub>
        </m:sSub>
      </m:oMath>
      <w:r w:rsidRPr="00E85A3A">
        <w:rPr>
          <w:rFonts w:ascii="Times New Roman" w:eastAsiaTheme="minorEastAsia" w:hAnsi="Times New Roman" w:cs="KdvpnkMinionProRegular"/>
          <w:sz w:val="24"/>
          <w:szCs w:val="24"/>
          <w:highlight w:val="red"/>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CC05D9" w:rsidRDefault="00CC05D9">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CC05D9" w:rsidRDefault="00CC05D9">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CC05D9" w:rsidRDefault="00CC05D9">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CC05D9" w:rsidRDefault="00CC05D9">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CC05D9" w:rsidRDefault="00CC05D9">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CC05D9" w:rsidRDefault="00CC05D9">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21D5DDA2"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 xml:space="preserve">in 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 xml:space="preserve">we have decided to consider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w:t>
      </w:r>
      <w:r>
        <w:rPr>
          <w:rFonts w:ascii="Times New Roman" w:eastAsiaTheme="minorEastAsia" w:hAnsi="Times New Roman"/>
          <w:iCs/>
          <w:sz w:val="24"/>
          <w:szCs w:val="24"/>
        </w:rPr>
        <w:lastRenderedPageBreak/>
        <w:t xml:space="preserve">to mitigate the effectiveness of the control in the case in which the control effort is maximum. </w:t>
      </w:r>
      <w:r w:rsidR="00E85A3A">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proofErr w:type="gramStart"/>
      <w:r>
        <w:rPr>
          <w:rFonts w:ascii="Times New Roman" w:eastAsiaTheme="minorEastAsia" w:hAnsi="Times New Roman"/>
          <w:iCs/>
          <w:sz w:val="24"/>
          <w:szCs w:val="24"/>
        </w:rPr>
        <w:t>non IC</w:t>
      </w:r>
      <w:proofErr w:type="gramEnd"/>
      <w:r>
        <w:rPr>
          <w:rFonts w:ascii="Times New Roman" w:eastAsiaTheme="minorEastAsia" w:hAnsi="Times New Roman"/>
          <w:iCs/>
          <w:sz w:val="24"/>
          <w:szCs w:val="24"/>
        </w:rPr>
        <w:t xml:space="preserve"> units and IC units, is maximum, it is not certain that the outcome of this choice has its maximum effectiveness. About the recoveries we have assumed that it is possible to heal </w:t>
      </w:r>
      <w:r w:rsidR="00931EA9">
        <w:rPr>
          <w:rFonts w:ascii="Times New Roman" w:eastAsiaTheme="minorEastAsia" w:hAnsi="Times New Roman"/>
          <w:iCs/>
          <w:sz w:val="24"/>
          <w:szCs w:val="24"/>
        </w:rPr>
        <w:t>without external control effort</w:t>
      </w:r>
      <w:r>
        <w:rPr>
          <w:rFonts w:ascii="Times New Roman" w:eastAsiaTheme="minorEastAsia" w:hAnsi="Times New Roman"/>
          <w:iCs/>
          <w:sz w:val="24"/>
          <w:szCs w:val="24"/>
        </w:rPr>
        <w:t xml:space="preserve"> only if the infected people are not yet detected and without symptoms (in I</w:t>
      </w:r>
      <w:r>
        <w:rPr>
          <w:rFonts w:ascii="Times New Roman" w:eastAsiaTheme="minorEastAsia" w:hAnsi="Times New Roman"/>
          <w:iCs/>
          <w:sz w:val="24"/>
          <w:szCs w:val="24"/>
          <w:vertAlign w:val="subscript"/>
        </w:rPr>
        <w:t>a</w:t>
      </w:r>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CC05D9">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1613EE75"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I</w:t>
            </w:r>
            <w:r>
              <w:rPr>
                <w:rFonts w:ascii="Times New Roman" w:eastAsia="Times New Roman" w:hAnsi="Times New Roman" w:cs="Times New Roman"/>
                <w:b/>
                <w:bCs/>
                <w:vertAlign w:val="subscript"/>
                <w:lang w:eastAsia="it-IT"/>
              </w:rPr>
              <w:t>a</w:t>
            </w:r>
            <w:r>
              <w:rPr>
                <w:rFonts w:ascii="Times New Roman" w:eastAsia="Times New Roman" w:hAnsi="Times New Roman" w:cs="Times New Roman"/>
                <w:b/>
                <w:bCs/>
                <w:lang w:eastAsia="it-IT"/>
              </w:rPr>
              <w:t>(</w:t>
            </w:r>
            <w:r>
              <w:rPr>
                <w:rFonts w:ascii="Times New Roman" w:eastAsia="Times New Roman" w:hAnsi="Times New Roman" w:cs="Times New Roman"/>
                <w:b/>
                <w:bCs/>
                <w:i/>
                <w:iCs/>
                <w:lang w:eastAsia="it-IT"/>
              </w:rPr>
              <w:t>i=1</w:t>
            </w:r>
            <w:r>
              <w:rPr>
                <w:rFonts w:ascii="Times New Roman" w:eastAsia="Times New Roman" w:hAnsi="Times New Roman" w:cs="Times New Roman"/>
                <w:b/>
                <w:bCs/>
                <w:lang w:eastAsia="it-IT"/>
              </w:rPr>
              <w:t>), Q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F500F5C" w14:textId="77777777" w:rsidR="00450FD3" w:rsidRDefault="00450FD3">
      <w:pPr>
        <w:jc w:val="both"/>
        <w:rPr>
          <w:rFonts w:ascii="Times New Roman" w:hAnsi="Times New Roman" w:cs="KdvpnkMinionProRegular"/>
          <w:b/>
          <w:bCs/>
          <w:color w:val="131413"/>
          <w:sz w:val="24"/>
          <w:szCs w:val="24"/>
        </w:rPr>
      </w:pPr>
    </w:p>
    <w:p w14:paraId="7D6A0A1E" w14:textId="77777777" w:rsidR="00450FD3" w:rsidRDefault="00450FD3">
      <w:pPr>
        <w:jc w:val="both"/>
        <w:rPr>
          <w:rFonts w:ascii="Times New Roman" w:hAnsi="Times New Roman" w:cs="KdvpnkMinionProRegular"/>
          <w:b/>
          <w:bCs/>
          <w:color w:val="131413"/>
          <w:sz w:val="24"/>
          <w:szCs w:val="24"/>
        </w:rPr>
      </w:pPr>
    </w:p>
    <w:p w14:paraId="68132EF6" w14:textId="77777777" w:rsidR="00450FD3" w:rsidRDefault="00450FD3">
      <w:pPr>
        <w:jc w:val="both"/>
        <w:rPr>
          <w:rFonts w:ascii="Times New Roman" w:hAnsi="Times New Roman" w:cs="KdvpnkMinionProRegular"/>
          <w:b/>
          <w:bCs/>
          <w:color w:val="131413"/>
          <w:sz w:val="24"/>
          <w:szCs w:val="24"/>
        </w:rPr>
      </w:pPr>
    </w:p>
    <w:p w14:paraId="42FD7C31" w14:textId="77777777" w:rsidR="00450FD3" w:rsidRDefault="00450FD3">
      <w:pPr>
        <w:jc w:val="both"/>
        <w:rPr>
          <w:rFonts w:ascii="Times New Roman" w:hAnsi="Times New Roman" w:cs="KdvpnkMinionProRegular"/>
          <w:b/>
          <w:bCs/>
          <w:color w:val="131413"/>
          <w:sz w:val="24"/>
          <w:szCs w:val="24"/>
        </w:rPr>
      </w:pPr>
    </w:p>
    <w:p w14:paraId="11924210"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3" w:name="_Toc67846361"/>
      <w:r>
        <w:rPr>
          <w:rFonts w:eastAsia="Noto Sans CJK SC" w:cs="Lohit Devanagari"/>
        </w:rPr>
        <w:t>2.2 Model Fitting</w:t>
      </w:r>
      <w:bookmarkEnd w:id="3"/>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400CE150" w14:textId="6A43A5BC"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ome of those parameters was inferred based on the official data and statistics (source: Protezione Civile, Ministero della Salute, Istat)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xml:space="preserve">) has been estimated due to the lack of information and the uncertainties on the data. </w:t>
      </w:r>
    </w:p>
    <w:p w14:paraId="492C9660" w14:textId="403A15C8" w:rsidR="00450FD3" w:rsidRPr="00D25EA9"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4E91B252"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672DEA3"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3FD3EDCE"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056C277"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5B6F25C5" w14:textId="155E9DC9"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47B8AED2"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italian “Protezione </w:t>
      </w:r>
      <w:proofErr w:type="gramStart"/>
      <w:r>
        <w:rPr>
          <w:rFonts w:ascii="Times New Roman" w:eastAsia="Calibri" w:hAnsi="Times New Roman" w:cs="KdvpnkMinionProRegular"/>
          <w:color w:val="131413"/>
          <w:sz w:val="24"/>
          <w:szCs w:val="24"/>
        </w:rPr>
        <w:t>Civile”</w:t>
      </w:r>
      <w:r>
        <w:rPr>
          <w:rFonts w:ascii="Times New Roman" w:eastAsia="Calibri" w:hAnsi="Times New Roman" w:cs="KdvpnkMinionProRegular"/>
          <w:color w:val="131413"/>
          <w:sz w:val="24"/>
          <w:szCs w:val="24"/>
          <w:vertAlign w:val="superscript"/>
        </w:rPr>
        <w:t>[</w:t>
      </w:r>
      <w:proofErr w:type="gramEnd"/>
      <w:r w:rsidR="00931EA9">
        <w:rPr>
          <w:rFonts w:ascii="Times New Roman" w:eastAsia="Calibri" w:hAnsi="Times New Roman" w:cs="KdvpnkMinionProRegular"/>
          <w:color w:val="131413"/>
          <w:sz w:val="24"/>
          <w:szCs w:val="24"/>
          <w:vertAlign w:val="superscript"/>
        </w:rPr>
        <w:t>18</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Hospedalized non IC, Hospedalized IC, and Quarantined people because we are mostly interested to follow in as accurate as possible way the behaviour of those individuals that are hospitalized in Intensive Care and not due to our initial optimal control purpose. </w:t>
      </w:r>
    </w:p>
    <w:p w14:paraId="3BC1E2D1" w14:textId="77777777"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lastRenderedPageBreak/>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18275008" w14:textId="77777777" w:rsidR="00450FD3" w:rsidRDefault="00450FD3">
      <w:pPr>
        <w:jc w:val="both"/>
        <w:rPr>
          <w:rFonts w:ascii="Times New Roman" w:eastAsia="Calibri" w:hAnsi="Times New Roman" w:cs="KdvpnkMinionProRegular"/>
        </w:rPr>
      </w:pP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CC05D9">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2C096144" w14:textId="2A9E747D" w:rsidR="00450FD3" w:rsidRDefault="002D576A">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w:t>
      </w:r>
      <w:r w:rsidR="00931EA9">
        <w:rPr>
          <w:rFonts w:ascii="Times New Roman" w:eastAsia="Calibri" w:hAnsi="Times New Roman" w:cs="KdvpnkMinionProRegular"/>
          <w:color w:val="131413"/>
          <w:sz w:val="24"/>
          <w:szCs w:val="24"/>
        </w:rPr>
        <w:t>diagonal and</w:t>
      </w:r>
      <w:r>
        <w:rPr>
          <w:rFonts w:ascii="Times New Roman" w:eastAsia="Calibri" w:hAnsi="Times New Roman" w:cs="KdvpnkMinionProRegular"/>
          <w:color w:val="131413"/>
          <w:sz w:val="24"/>
          <w:szCs w:val="24"/>
        </w:rPr>
        <w:t xml:space="preserve">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7EE549A3" w14:textId="77777777" w:rsidR="00450FD3" w:rsidRDefault="00450FD3">
      <w:pPr>
        <w:spacing w:after="0" w:line="480" w:lineRule="auto"/>
        <w:jc w:val="both"/>
        <w:rPr>
          <w:rFonts w:ascii="Times New Roman" w:hAnsi="Times New Roman" w:cs="KdvpnkMinionProRegular"/>
          <w:color w:val="000000" w:themeColor="text1"/>
          <w:sz w:val="24"/>
          <w:szCs w:val="24"/>
        </w:rPr>
      </w:pPr>
    </w:p>
    <w:p w14:paraId="3D46ED8C" w14:textId="77777777" w:rsidR="00450FD3" w:rsidRDefault="002D576A">
      <w:pPr>
        <w:pStyle w:val="Titolo2"/>
        <w:rPr>
          <w:rFonts w:eastAsia="Noto Sans CJK SC" w:cs="Lohit Devanagari"/>
        </w:rPr>
      </w:pPr>
      <w:bookmarkStart w:id="4" w:name="_Toc67846362"/>
      <w:r>
        <w:rPr>
          <w:rFonts w:eastAsia="Noto Sans CJK SC" w:cs="Lohit Devanagari"/>
        </w:rPr>
        <w:t>2.3 Optimal Control strategy</w:t>
      </w:r>
      <w:bookmarkEnd w:id="4"/>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487BBEBC"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E51064A"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lastRenderedPageBreak/>
        <w:t>2.3.2 Optimal control strategies and objective function definitions</w:t>
      </w:r>
    </w:p>
    <w:p w14:paraId="52D66078" w14:textId="21C6DEFE"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656571C4"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rsidP="004C69A0">
      <w:pPr>
        <w:spacing w:line="480" w:lineRule="auto"/>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rsidP="004C69A0">
      <w:pPr>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rsidP="004C69A0">
      <w:pPr>
        <w:spacing w:after="0" w:line="480" w:lineRule="auto"/>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w:t>
      </w:r>
      <w:r>
        <w:rPr>
          <w:rFonts w:ascii="Times New Roman" w:eastAsiaTheme="minorEastAsia" w:hAnsi="Times New Roman" w:cs="Times New Roman"/>
          <w:iCs/>
          <w:color w:val="000000" w:themeColor="text1"/>
          <w:sz w:val="24"/>
          <w:szCs w:val="24"/>
        </w:rPr>
        <w:lastRenderedPageBreak/>
        <w:t xml:space="preserve">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6618C3CC" w14:textId="77777777" w:rsidR="00450FD3" w:rsidRDefault="002D576A" w:rsidP="004C69A0">
      <w:pPr>
        <w:spacing w:after="0"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5F1C5E98" w14:textId="77777777" w:rsidR="00450FD3" w:rsidRDefault="00450FD3">
      <w:pPr>
        <w:spacing w:after="0" w:line="480" w:lineRule="auto"/>
        <w:ind w:left="360"/>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(Pontryagin)</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7213F38A"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Pontryagin’s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r w:rsidR="004C69A0">
        <w:rPr>
          <w:rFonts w:ascii="Times New Roman" w:hAnsi="Times New Roman"/>
          <w:sz w:val="24"/>
          <w:szCs w:val="24"/>
        </w:rPr>
        <w:t>principle</w:t>
      </w:r>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w:t>
      </w:r>
      <w:r w:rsidR="004C69A0">
        <w:rPr>
          <w:rFonts w:ascii="Times New Roman" w:hAnsi="Times New Roman"/>
          <w:sz w:val="24"/>
          <w:szCs w:val="24"/>
        </w:rPr>
        <w:t>problem</w:t>
      </w:r>
      <w:r>
        <w:rPr>
          <w:rFonts w:ascii="Times New Roman" w:hAnsi="Times New Roman"/>
          <w:sz w:val="24"/>
          <w:szCs w:val="24"/>
        </w:rPr>
        <w:t xml:space="preserve"> of minimizing </w:t>
      </w:r>
      <w:r w:rsidR="004C69A0">
        <w:rPr>
          <w:rFonts w:ascii="Times New Roman" w:hAnsi="Times New Roman"/>
          <w:sz w:val="24"/>
          <w:szCs w:val="24"/>
        </w:rPr>
        <w:t>pointwise</w:t>
      </w:r>
      <w:r>
        <w:rPr>
          <w:rFonts w:ascii="Times New Roman" w:hAnsi="Times New Roman"/>
          <w:sz w:val="24"/>
          <w:szCs w:val="24"/>
        </w:rPr>
        <w:t xml:space="preserve"> the </w:t>
      </w:r>
      <w:r w:rsidR="004C69A0">
        <w:rPr>
          <w:rFonts w:ascii="Times New Roman" w:hAnsi="Times New Roman"/>
          <w:sz w:val="24"/>
          <w:szCs w:val="24"/>
        </w:rPr>
        <w:t>Hamiltonian</w:t>
      </w:r>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rsidP="004C69A0">
      <w:pPr>
        <w:ind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0AF66723" w14:textId="77777777" w:rsidR="004C69A0" w:rsidRDefault="004C69A0">
      <w:pPr>
        <w:spacing w:after="0" w:line="480" w:lineRule="auto"/>
        <w:jc w:val="both"/>
        <w:rPr>
          <w:rFonts w:ascii="Times New Roman" w:eastAsiaTheme="minorEastAsia" w:hAnsi="Times New Roman"/>
          <w:sz w:val="24"/>
          <w:szCs w:val="24"/>
        </w:rPr>
      </w:pPr>
    </w:p>
    <w:p w14:paraId="68B022A5" w14:textId="63E64FC3"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sidR="004C69A0">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lastRenderedPageBreak/>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07BE521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r w:rsidR="004C69A0">
        <w:rPr>
          <w:rFonts w:ascii="Times New Roman" w:eastAsiaTheme="minorEastAsia" w:hAnsi="Times New Roman"/>
          <w:sz w:val="24"/>
          <w:szCs w:val="24"/>
        </w:rPr>
        <w:t>considering</w:t>
      </w:r>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m:t>
        </m:r>
        <m:r>
          <w:rPr>
            <w:rFonts w:ascii="Cambria Math" w:hAnsi="Cambria Math"/>
          </w:rPr>
          <m:t xml:space="preserve"> </m:t>
        </m:r>
        <m:r>
          <w:rPr>
            <w:rFonts w:ascii="Cambria Math" w:hAnsi="Cambria Math"/>
          </w:rPr>
          <m:t>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20FCD3BD" w:rsidR="00450FD3" w:rsidRPr="00944944" w:rsidRDefault="00CC05D9" w:rsidP="00944944">
      <w:pP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9D261B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5836B985" w:rsidR="00450FD3" w:rsidRDefault="00944944" w:rsidP="00944944">
      <w:pPr>
        <w:ind w:left="7788" w:firstLine="708"/>
        <w:jc w:val="both"/>
        <w:rPr>
          <w:rFonts w:ascii="Times New Roman" w:eastAsiaTheme="minorEastAsia" w:hAnsi="Times New Roman"/>
        </w:rPr>
      </w:pPr>
      <w:r>
        <w:rPr>
          <w:rFonts w:ascii="Times New Roman" w:eastAsiaTheme="minorEastAsia" w:hAnsi="Times New Roman"/>
          <w:i/>
          <w:iCs/>
        </w:rPr>
        <w:t>(13</w:t>
      </w:r>
      <w:r>
        <w:rPr>
          <w:rFonts w:ascii="Times New Roman" w:eastAsiaTheme="minorEastAsia" w:hAnsi="Times New Roman"/>
          <w:i/>
          <w:iCs/>
        </w:rPr>
        <w:t>)</w:t>
      </w:r>
      <w:r w:rsidR="002D576A">
        <w:rPr>
          <w:rFonts w:ascii="Times New Roman" w:eastAsiaTheme="minorEastAsia" w:hAnsi="Times New Roman"/>
        </w:rPr>
        <w:tab/>
      </w:r>
    </w:p>
    <w:p w14:paraId="3E763226" w14:textId="77777777" w:rsidR="00450FD3" w:rsidRPr="00944944" w:rsidRDefault="00CC05D9">
      <w:pPr>
        <w:jc w:val="center"/>
        <w:rPr>
          <w:rFonts w:ascii="Times New Roman" w:eastAsiaTheme="minorEastAsia" w:hAnsi="Times New Roman"/>
          <w:sz w:val="24"/>
          <w:szCs w:val="24"/>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Pr="00944944" w:rsidRDefault="00CC05D9" w:rsidP="00944944">
      <w:pPr>
        <w:spacing w:after="0" w:line="480" w:lineRule="auto"/>
        <w:ind w:firstLine="708"/>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066B1FDC"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FD5ECB3" w14:textId="77777777" w:rsidR="00944944" w:rsidRPr="00552AEB" w:rsidRDefault="00944944" w:rsidP="00944944">
      <w:pPr>
        <w:spacing w:after="0" w:line="480" w:lineRule="auto"/>
        <w:jc w:val="center"/>
        <w:rPr>
          <w:rFonts w:ascii="Times New Roman" w:eastAsiaTheme="minorEastAsia" w:hAnsi="Times New Roman"/>
        </w:rPr>
      </w:pPr>
      <m:oMathPara>
        <m:oMathParaPr>
          <m:jc m:val="left"/>
        </m:oMathParaPr>
        <m:oMath>
          <m:sSubSup>
            <m:sSubSupPr>
              <m:ctrlPr>
                <w:rPr>
                  <w:rFonts w:ascii="Cambria Math" w:hAnsi="Cambria Math"/>
                </w:rPr>
              </m:ctrlPr>
            </m:sSubSup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Sβ</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Sβ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005EA5F3"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4A10FD25"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08CC522F"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2179797E"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2B158D96"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74E56D42"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209D7EE8"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551A3C8F"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6A920F3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42FCAB40"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6" w:name="_Toc67846363"/>
      <w:r>
        <w:t>3. Results and discussion (Numerical Simulations and Discussion)</w:t>
      </w:r>
      <w:bookmarkEnd w:id="6"/>
    </w:p>
    <w:p w14:paraId="50A4BCD9"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Matlab Optimization Toolbox and the function </w:t>
      </w:r>
      <w:r>
        <w:rPr>
          <w:rFonts w:ascii="Times New Roman" w:hAnsi="Times New Roman"/>
          <w:i/>
          <w:iCs/>
          <w:sz w:val="24"/>
          <w:szCs w:val="24"/>
        </w:rPr>
        <w:t xml:space="preserve">fmincon.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CC05D9">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5BE63EB4" w:rsidR="00450FD3" w:rsidRDefault="002D576A">
      <w:pPr>
        <w:spacing w:after="0"/>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w:t>
      </w:r>
      <w:proofErr w:type="gramStart"/>
      <w:r>
        <w:rPr>
          <w:rFonts w:ascii="Times New Roman" w:hAnsi="Times New Roman"/>
          <w:sz w:val="24"/>
          <w:szCs w:val="24"/>
        </w:rPr>
        <w:t>and also</w:t>
      </w:r>
      <w:proofErr w:type="gramEnd"/>
      <w:r>
        <w:rPr>
          <w:rFonts w:ascii="Times New Roman" w:hAnsi="Times New Roman"/>
          <w:sz w:val="24"/>
          <w:szCs w:val="24"/>
        </w:rPr>
        <w:t xml:space="preserve">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Protezione Civile daily monitoring [</w:t>
      </w:r>
      <w:r w:rsidR="00E52C9B">
        <w:rPr>
          <w:rFonts w:ascii="Times New Roman" w:hAnsi="Times New Roman"/>
          <w:sz w:val="24"/>
          <w:szCs w:val="24"/>
        </w:rPr>
        <w:t>18</w:t>
      </w:r>
      <w:r>
        <w:rPr>
          <w:rFonts w:ascii="Times New Roman" w:hAnsi="Times New Roman"/>
          <w:sz w:val="24"/>
          <w:szCs w:val="24"/>
        </w:rPr>
        <w:t>]. Data about infected subjects not detected are not available, for this reason we have done a suitable and realistic estimation that works properly for our task.</w:t>
      </w:r>
    </w:p>
    <w:p w14:paraId="04174A6E" w14:textId="77777777" w:rsidR="00450FD3" w:rsidRDefault="002D576A">
      <w:pPr>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were estimated by fitting the simulated curve with the real on by the function </w:t>
      </w:r>
      <w:r>
        <w:rPr>
          <w:rFonts w:ascii="Times New Roman" w:eastAsiaTheme="minorEastAsia" w:hAnsi="Times New Roman"/>
          <w:i/>
          <w:iCs/>
          <w:sz w:val="24"/>
          <w:szCs w:val="24"/>
        </w:rPr>
        <w:t xml:space="preserve">fmincon.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for the vaccination control that was fixed by us. </w:t>
      </w:r>
    </w:p>
    <w:p w14:paraId="0B6C6F5E"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We have assumed small variations of the control during the fitting to be more loyal with the real </w:t>
      </w:r>
      <w:proofErr w:type="gramStart"/>
      <w:r>
        <w:rPr>
          <w:rFonts w:ascii="Times New Roman" w:eastAsiaTheme="minorEastAsia" w:hAnsi="Times New Roman"/>
          <w:sz w:val="24"/>
          <w:szCs w:val="24"/>
        </w:rPr>
        <w:t>scenario;</w:t>
      </w:r>
      <w:proofErr w:type="gramEnd"/>
      <w:r>
        <w:rPr>
          <w:rFonts w:ascii="Times New Roman" w:eastAsiaTheme="minorEastAsia" w:hAnsi="Times New Roman"/>
          <w:sz w:val="24"/>
          <w:szCs w:val="24"/>
        </w:rPr>
        <w:t xml:space="preserve"> as a consequence the lower bounds and the upper bounds of the controls are set in different way in order to satisfy this assumption:</w:t>
      </w:r>
    </w:p>
    <w:p w14:paraId="59F91AF9" w14:textId="77777777" w:rsidR="00450FD3" w:rsidRDefault="00450FD3">
      <w:pPr>
        <w:spacing w:after="0"/>
        <w:jc w:val="both"/>
        <w:rPr>
          <w:rFonts w:ascii="Times New Roman" w:eastAsiaTheme="minorEastAsia" w:hAnsi="Times New Roman"/>
          <w:sz w:val="24"/>
          <w:szCs w:val="24"/>
        </w:rPr>
      </w:pPr>
    </w:p>
    <w:p w14:paraId="448CBAA4" w14:textId="77777777"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21668B35" w14:textId="2FAD5D27" w:rsidR="00450FD3" w:rsidRDefault="002D576A">
      <w:pPr>
        <w:spacing w:after="0"/>
        <w:jc w:val="both"/>
        <w:rPr>
          <w:rFonts w:ascii="Times New Roman" w:eastAsiaTheme="minorEastAsia" w:hAnsi="Times New Roman"/>
          <w:color w:val="FF0000"/>
          <w:sz w:val="24"/>
          <w:szCs w:val="24"/>
          <w:lang w:val="it-IT"/>
        </w:rPr>
      </w:pPr>
      <w:r>
        <w:rPr>
          <w:rFonts w:ascii="Times New Roman" w:eastAsiaTheme="minorEastAsia" w:hAnsi="Times New Roman"/>
          <w:color w:val="FF0000"/>
          <w:sz w:val="24"/>
          <w:szCs w:val="24"/>
          <w:lang w:val="it-IT"/>
        </w:rPr>
        <w:t>(</w:t>
      </w:r>
      <w:r w:rsidR="003738DC">
        <w:rPr>
          <w:rFonts w:ascii="Times New Roman" w:eastAsiaTheme="minorEastAsia" w:hAnsi="Times New Roman"/>
          <w:color w:val="FF0000"/>
          <w:sz w:val="24"/>
          <w:szCs w:val="24"/>
          <w:lang w:val="it-IT"/>
        </w:rPr>
        <w:t xml:space="preserve">Vogliamo anche dire </w:t>
      </w:r>
      <w:r>
        <w:rPr>
          <w:rFonts w:ascii="Times New Roman" w:eastAsiaTheme="minorEastAsia" w:hAnsi="Times New Roman"/>
          <w:color w:val="FF0000"/>
          <w:sz w:val="24"/>
          <w:szCs w:val="24"/>
          <w:lang w:val="it-IT"/>
        </w:rPr>
        <w:t>che l’upper e i lower bounds dei parametri sono in un range più ampio lasciando più liberi questi ultimi per non si sa quale motivo?)</w:t>
      </w:r>
      <w:r w:rsidR="003738DC">
        <w:rPr>
          <w:rFonts w:ascii="Times New Roman" w:eastAsiaTheme="minorEastAsia" w:hAnsi="Times New Roman"/>
          <w:color w:val="FF0000"/>
          <w:sz w:val="24"/>
          <w:szCs w:val="24"/>
          <w:lang w:val="it-IT"/>
        </w:rPr>
        <w:t xml:space="preserve">. I controlli sono stati tenuti il più possibile vicini a dei valori reali/medi in quanto effettivamente non è mai stato fatto dopo il lockdown un livello di chiusura elevato. </w:t>
      </w:r>
    </w:p>
    <w:p w14:paraId="75F7352F" w14:textId="77777777" w:rsidR="00450FD3" w:rsidRDefault="002D576A">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pPr>
        <w:spacing w:after="0"/>
        <w:jc w:val="both"/>
        <w:rPr>
          <w:rFonts w:ascii="Times New Roman" w:eastAsiaTheme="minorEastAsia" w:hAnsi="Times New Roman"/>
          <w:sz w:val="24"/>
          <w:szCs w:val="24"/>
        </w:rPr>
      </w:pPr>
    </w:p>
    <w:p w14:paraId="17DC0A4D"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pPr>
        <w:spacing w:after="0"/>
        <w:jc w:val="both"/>
        <w:rPr>
          <w:rFonts w:ascii="Times New Roman" w:eastAsiaTheme="minorEastAsia" w:hAnsi="Times New Roman"/>
          <w:sz w:val="24"/>
          <w:szCs w:val="24"/>
        </w:rPr>
      </w:pPr>
    </w:p>
    <w:p w14:paraId="3203263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moreover those in IC </w:t>
      </w:r>
      <w:r>
        <w:rPr>
          <w:rFonts w:ascii="Times New Roman" w:eastAsiaTheme="minorEastAsia" w:hAnsi="Times New Roman"/>
          <w:b/>
          <w:bCs/>
          <w:sz w:val="24"/>
          <w:szCs w:val="24"/>
        </w:rPr>
        <w:t>because of the small numbers and more certain values given by those two classes</w:t>
      </w:r>
      <w:r>
        <w:rPr>
          <w:rFonts w:ascii="Times New Roman" w:eastAsiaTheme="minorEastAsia" w:hAnsi="Times New Roman"/>
          <w:sz w:val="24"/>
          <w:szCs w:val="24"/>
        </w:rPr>
        <w:t>.</w:t>
      </w:r>
    </w:p>
    <w:p w14:paraId="3DDE929B" w14:textId="77777777" w:rsidR="00450FD3" w:rsidRDefault="002D576A">
      <w:pPr>
        <w:keepNext/>
        <w:spacing w:after="0"/>
        <w:jc w:val="both"/>
      </w:pPr>
      <w:r>
        <w:rPr>
          <w:rFonts w:ascii="Times New Roman" w:eastAsiaTheme="minorEastAsia" w:hAnsi="Times New Roman"/>
          <w:sz w:val="24"/>
          <w:szCs w:val="24"/>
        </w:rPr>
        <w:t xml:space="preserve">Figure 1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3ADE0A1" w14:textId="77777777" w:rsidR="00450FD3" w:rsidRDefault="00450FD3">
      <w:pPr>
        <w:pStyle w:val="Didascalia"/>
        <w:jc w:val="both"/>
        <w:rPr>
          <w:i w:val="0"/>
          <w:iCs w:val="0"/>
        </w:rPr>
      </w:pPr>
    </w:p>
    <w:p w14:paraId="608F3C48" w14:textId="77777777" w:rsidR="00450FD3" w:rsidRDefault="00450FD3"/>
    <w:p w14:paraId="72086E0B" w14:textId="77777777" w:rsidR="00450FD3" w:rsidRDefault="00450FD3"/>
    <w:p w14:paraId="48729EAC" w14:textId="77777777" w:rsidR="00450FD3" w:rsidRDefault="00450FD3"/>
    <w:p w14:paraId="703DFDEE" w14:textId="77777777" w:rsidR="00450FD3" w:rsidRDefault="00450FD3"/>
    <w:p w14:paraId="15437E50" w14:textId="77777777" w:rsidR="00450FD3" w:rsidRDefault="00450FD3"/>
    <w:p w14:paraId="59517770" w14:textId="77777777" w:rsidR="00450FD3" w:rsidRDefault="00450FD3"/>
    <w:p w14:paraId="255FDC41" w14:textId="77777777" w:rsidR="00450FD3" w:rsidRDefault="00450FD3"/>
    <w:p w14:paraId="699177E9" w14:textId="77777777" w:rsidR="00450FD3" w:rsidRDefault="00450FD3"/>
    <w:p w14:paraId="0CB21EBB" w14:textId="77777777" w:rsidR="00450FD3" w:rsidRDefault="00450FD3"/>
    <w:p w14:paraId="2851B3CB" w14:textId="77777777" w:rsidR="00450FD3" w:rsidRDefault="00450FD3"/>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 xml:space="preserve">Table </w:t>
      </w:r>
      <w:proofErr w:type="gramStart"/>
      <w:r>
        <w:rPr>
          <w:rFonts w:ascii="Times New Roman" w:eastAsiaTheme="minorEastAsia" w:hAnsi="Times New Roman"/>
          <w:b/>
          <w:bCs/>
          <w:sz w:val="24"/>
          <w:szCs w:val="24"/>
        </w:rPr>
        <w:t>2</w:t>
      </w:r>
      <w:proofErr w:type="gramEnd"/>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4DCBBB63" w:rsidR="00450FD3" w:rsidRPr="00F723AE" w:rsidRDefault="002D576A">
      <w:pPr>
        <w:spacing w:after="0"/>
        <w:jc w:val="both"/>
        <w:rPr>
          <w:rFonts w:ascii="Times New Roman" w:eastAsiaTheme="minorEastAsia" w:hAnsi="Times New Roman"/>
          <w:color w:val="000000" w:themeColor="text1"/>
          <w:sz w:val="24"/>
          <w:szCs w:val="24"/>
        </w:rPr>
      </w:pPr>
      <w:r>
        <w:rPr>
          <w:rFonts w:ascii="Times New Roman" w:eastAsiaTheme="minorEastAsia" w:hAnsi="Times New Roman"/>
          <w:color w:val="000000" w:themeColor="text1"/>
          <w:sz w:val="24"/>
          <w:szCs w:val="24"/>
        </w:rPr>
        <w:t xml:space="preserve">From the parameters’ value in </w:t>
      </w:r>
      <w:r>
        <w:rPr>
          <w:rFonts w:ascii="Times New Roman" w:eastAsiaTheme="minorEastAsia" w:hAnsi="Times New Roman"/>
          <w:b/>
          <w:bCs/>
          <w:color w:val="000000" w:themeColor="text1"/>
          <w:sz w:val="24"/>
          <w:szCs w:val="24"/>
        </w:rPr>
        <w:t xml:space="preserve">Table 2 </w:t>
      </w:r>
      <w:r>
        <w:rPr>
          <w:rFonts w:ascii="Times New Roman" w:eastAsiaTheme="minorEastAsia" w:hAnsi="Times New Roman"/>
          <w:color w:val="000000" w:themeColor="text1"/>
          <w:sz w:val="24"/>
          <w:szCs w:val="24"/>
        </w:rPr>
        <w:t>it is possible to notice some interesting aspects</w:t>
      </w:r>
      <w:r w:rsidR="00A67E66">
        <w:rPr>
          <w:rFonts w:ascii="Times New Roman" w:eastAsiaTheme="minorEastAsia" w:hAnsi="Times New Roman"/>
          <w:color w:val="000000" w:themeColor="text1"/>
          <w:sz w:val="24"/>
          <w:szCs w:val="24"/>
        </w:rPr>
        <w:t xml:space="preserve">. We could feel satisfied in the way the optimiser assigned the value to fit the simulated curve in order to minimise the error with respect the real curve of infected hospitalised and quarantined people. Because of the increasing number of </w:t>
      </w:r>
      <w:proofErr w:type="gramStart"/>
      <w:r w:rsidR="00F723AE">
        <w:rPr>
          <w:rFonts w:ascii="Times New Roman" w:eastAsiaTheme="minorEastAsia" w:hAnsi="Times New Roman"/>
          <w:color w:val="000000" w:themeColor="text1"/>
          <w:sz w:val="24"/>
          <w:szCs w:val="24"/>
        </w:rPr>
        <w:t>swab</w:t>
      </w:r>
      <w:proofErr w:type="gramEnd"/>
      <w:r w:rsidR="00F723AE">
        <w:rPr>
          <w:rFonts w:ascii="Times New Roman" w:eastAsiaTheme="minorEastAsia" w:hAnsi="Times New Roman"/>
          <w:color w:val="000000" w:themeColor="text1"/>
          <w:sz w:val="24"/>
          <w:szCs w:val="24"/>
        </w:rPr>
        <w:t>,</w:t>
      </w:r>
      <w:r w:rsidR="00A67E66">
        <w:rPr>
          <w:rFonts w:ascii="Times New Roman" w:eastAsiaTheme="minorEastAsia" w:hAnsi="Times New Roman"/>
          <w:color w:val="000000" w:themeColor="text1"/>
          <w:sz w:val="24"/>
          <w:szCs w:val="24"/>
        </w:rPr>
        <w:t xml:space="preserve"> the number of infected people (also aymptomatic) positive (lambda) due to the swab increase and as a consequence, also the percentage of infected quarantined. </w:t>
      </w:r>
      <w:r w:rsidR="00535087">
        <w:rPr>
          <w:rFonts w:ascii="Times New Roman" w:eastAsiaTheme="minorEastAsia" w:hAnsi="Times New Roman"/>
          <w:color w:val="000000" w:themeColor="text1"/>
          <w:sz w:val="24"/>
          <w:szCs w:val="24"/>
        </w:rPr>
        <w:t xml:space="preserve">It seems to be faithful to the real situation the values given to the parameters </w:t>
      </w:r>
      <m:oMath>
        <m:r>
          <m:rPr>
            <m:sty m:val="p"/>
          </m:rPr>
          <w:rPr>
            <w:rFonts w:ascii="Cambria Math" w:hAnsi="Cambria Math"/>
          </w:rPr>
          <w:br/>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2</m:t>
            </m:r>
          </m:sub>
        </m:sSub>
      </m:oMath>
      <w:r w:rsidR="00535087">
        <w:rPr>
          <w:rFonts w:ascii="Times New Roman" w:eastAsiaTheme="minorEastAsia" w:hAnsi="Times New Roman"/>
        </w:rPr>
        <w:t xml:space="preserve">; the control effectiveness of the treatments in the hospital for not IT subjects and IT subjects grew during the time interval from a value of 0.00375 in the first month to a value if 0.059 in the last month. This is given by the fact that the number of ICu and beds in the hospitals was improved </w:t>
      </w:r>
      <w:r w:rsidR="00EB5517">
        <w:rPr>
          <w:rFonts w:ascii="Times New Roman" w:eastAsiaTheme="minorEastAsia" w:hAnsi="Times New Roman"/>
        </w:rPr>
        <w:t xml:space="preserve">but, how we can see, even though this improvement in the following months, the value of the effectiveness of treatments control in hospital is kept low due to the deficiency of healthy facilities.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pPr>
        <w:spacing w:after="0"/>
        <w:jc w:val="both"/>
        <w:rPr>
          <w:rFonts w:ascii="Times New Roman" w:eastAsiaTheme="minorEastAsia" w:hAnsi="Times New Roman"/>
          <w:sz w:val="24"/>
          <w:szCs w:val="24"/>
        </w:rPr>
      </w:pPr>
    </w:p>
    <w:p w14:paraId="7FDBD11B"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726AC5B2"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are set for optimisation in a different way with respect to the fitting </w:t>
      </w:r>
      <w:r>
        <w:rPr>
          <w:rFonts w:ascii="Times New Roman" w:eastAsiaTheme="minorEastAsia" w:hAnsi="Times New Roman"/>
          <w:color w:val="FF0000"/>
          <w:sz w:val="24"/>
          <w:szCs w:val="24"/>
        </w:rPr>
        <w:t>to give more freedom to the optimiser to set the suitable value during the optimisation</w:t>
      </w:r>
      <w:r w:rsidR="003738DC">
        <w:rPr>
          <w:rFonts w:ascii="Times New Roman" w:eastAsiaTheme="minorEastAsia" w:hAnsi="Times New Roman"/>
          <w:color w:val="FF0000"/>
          <w:sz w:val="24"/>
          <w:szCs w:val="24"/>
        </w:rPr>
        <w:t xml:space="preserve"> (perchè consideriamo anche di fare un liberi tutti ed un lockdown totale simile a quello di marzo)</w:t>
      </w:r>
      <w:r>
        <w:rPr>
          <w:rFonts w:ascii="Times New Roman" w:eastAsiaTheme="minorEastAsia" w:hAnsi="Times New Roman"/>
          <w:sz w:val="24"/>
          <w:szCs w:val="24"/>
        </w:rPr>
        <w:t>:</w:t>
      </w:r>
    </w:p>
    <w:p w14:paraId="3277B504" w14:textId="77777777" w:rsidR="00450FD3" w:rsidRDefault="00450FD3">
      <w:pPr>
        <w:spacing w:after="0"/>
        <w:jc w:val="both"/>
        <w:rPr>
          <w:rFonts w:ascii="Times New Roman" w:eastAsiaTheme="minorEastAsia" w:hAnsi="Times New Roman"/>
          <w:sz w:val="24"/>
          <w:szCs w:val="24"/>
        </w:rPr>
      </w:pPr>
    </w:p>
    <w:p w14:paraId="35682382" w14:textId="77777777" w:rsidR="00450FD3" w:rsidRPr="002D576A" w:rsidRDefault="002D576A">
      <w:pPr>
        <w:spacing w:after="0"/>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m:t>
                </m:r>
                <m:r>
                  <w:rPr>
                    <w:rFonts w:ascii="Cambria Math" w:hAnsi="Cambria Math"/>
                  </w:rPr>
                  <w:lastRenderedPageBreak/>
                  <m:t>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pPr>
        <w:spacing w:after="0"/>
        <w:jc w:val="both"/>
        <w:rPr>
          <w:rFonts w:ascii="Times New Roman" w:eastAsiaTheme="minorEastAsia" w:hAnsi="Times New Roman"/>
          <w:sz w:val="24"/>
          <w:szCs w:val="24"/>
        </w:rPr>
      </w:pPr>
    </w:p>
    <w:p w14:paraId="309953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pPr>
        <w:spacing w:after="0"/>
        <w:jc w:val="both"/>
        <w:rPr>
          <w:rFonts w:ascii="Times New Roman" w:eastAsiaTheme="minorEastAsia" w:hAnsi="Times New Roman"/>
          <w:sz w:val="24"/>
          <w:szCs w:val="24"/>
        </w:rPr>
      </w:pPr>
    </w:p>
    <w:p w14:paraId="0001514A"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maximization of the susceptible with respect to the control terms that are also weighted in such a way to give the proper level of importance:</w:t>
      </w:r>
    </w:p>
    <w:p w14:paraId="685B0308" w14:textId="77777777" w:rsidR="00450FD3" w:rsidRDefault="00450FD3">
      <w:pPr>
        <w:spacing w:after="0"/>
        <w:jc w:val="both"/>
        <w:rPr>
          <w:rFonts w:ascii="Times New Roman" w:eastAsiaTheme="minorEastAsia" w:hAnsi="Times New Roman"/>
          <w:sz w:val="24"/>
          <w:szCs w:val="24"/>
        </w:rPr>
      </w:pPr>
    </w:p>
    <w:p w14:paraId="06903FEC"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pPr>
        <w:spacing w:after="0"/>
        <w:jc w:val="both"/>
        <w:rPr>
          <w:rFonts w:ascii="Times New Roman" w:eastAsiaTheme="minorEastAsia" w:hAnsi="Times New Roman"/>
          <w:sz w:val="24"/>
          <w:szCs w:val="24"/>
        </w:rPr>
      </w:pPr>
    </w:p>
    <w:p w14:paraId="455127B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456C7FB"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3 the obtained controls and the evolution of different classes are presented</w:t>
      </w:r>
    </w:p>
    <w:p w14:paraId="52CAE35E" w14:textId="77777777" w:rsidR="00450FD3" w:rsidRDefault="002D576A">
      <w:pPr>
        <w:keepNext/>
        <w:spacing w:after="0"/>
        <w:jc w:val="both"/>
      </w:pPr>
      <w:r>
        <w:rPr>
          <w:noProof/>
        </w:rPr>
        <w:lastRenderedPageBreak/>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9D79AE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but </w:t>
      </w:r>
      <w:proofErr w:type="gramStart"/>
      <w:r>
        <w:rPr>
          <w:rFonts w:ascii="Times New Roman" w:eastAsiaTheme="minorEastAsia" w:hAnsi="Times New Roman"/>
          <w:sz w:val="24"/>
          <w:szCs w:val="24"/>
        </w:rPr>
        <w:t>giving also</w:t>
      </w:r>
      <w:proofErr w:type="gramEnd"/>
      <w:r>
        <w:rPr>
          <w:rFonts w:ascii="Times New Roman" w:eastAsiaTheme="minorEastAsia" w:hAnsi="Times New Roman"/>
          <w:sz w:val="24"/>
          <w:szCs w:val="24"/>
        </w:rPr>
        <w:t xml:space="preserve"> importance to 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4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lastRenderedPageBreak/>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23D43E59"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=0&lt;.2;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79D13EEA"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6B679AF4" w14:textId="77777777" w:rsidR="00450FD3" w:rsidRDefault="00450FD3">
      <w:pPr>
        <w:spacing w:after="0"/>
        <w:jc w:val="both"/>
        <w:rPr>
          <w:rFonts w:ascii="Times New Roman" w:eastAsiaTheme="minorEastAsia" w:hAnsi="Times New Roman"/>
          <w:sz w:val="24"/>
          <w:szCs w:val="24"/>
        </w:rPr>
      </w:pPr>
    </w:p>
    <w:p w14:paraId="00B07DE7" w14:textId="77777777" w:rsidR="00450FD3" w:rsidRDefault="002D576A">
      <w:pPr>
        <w:keepNext/>
        <w:spacing w:after="0"/>
        <w:jc w:val="both"/>
      </w:pPr>
      <w:r>
        <w:rPr>
          <w:noProof/>
        </w:rPr>
        <w:lastRenderedPageBreak/>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lastRenderedPageBreak/>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proofErr w:type="gramStart"/>
      <w:r>
        <w:t>)</w:t>
      </w:r>
      <w:r>
        <w:rPr>
          <w:vertAlign w:val="subscript"/>
        </w:rPr>
        <w:t xml:space="preserve"> </w:t>
      </w:r>
      <w:r>
        <w:t>,</w:t>
      </w:r>
      <w:proofErr w:type="gramEnd"/>
      <w:r>
        <w:t xml:space="preserve">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r>
        <w:t>u</w:t>
      </w:r>
      <w:r>
        <w:rPr>
          <w:vertAlign w:val="subscript"/>
        </w:rPr>
        <w:t>v</w:t>
      </w:r>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5740FC54" w:rsidR="00450FD3" w:rsidRDefault="005D17E6" w:rsidP="002E19EC">
      <w:pPr>
        <w:pStyle w:val="Paragrafoelenco"/>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2E19EC">
        <w:rPr>
          <w:sz w:val="24"/>
          <w:szCs w:val="24"/>
        </w:rPr>
        <w:t xml:space="preserve">It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for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 xml:space="preserve">the same value with respect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But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w:t>
      </w:r>
      <w:r w:rsidR="004D3F91">
        <w:rPr>
          <w:sz w:val="24"/>
          <w:szCs w:val="24"/>
        </w:rPr>
        <w:lastRenderedPageBreak/>
        <w:t>respectively) keep very low the curve of infected in IC</w:t>
      </w:r>
      <w:r w:rsidR="00813020">
        <w:rPr>
          <w:sz w:val="24"/>
          <w:szCs w:val="24"/>
        </w:rPr>
        <w:t xml:space="preserve"> with a peak of 500 people (respect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for the fourth strategy in which the number of infected in IC is higher than the previous two strategies, characterised by a peak of</w:t>
      </w:r>
      <w:r w:rsidR="00DB66A4">
        <w:rPr>
          <w:sz w:val="24"/>
          <w:szCs w:val="24"/>
        </w:rPr>
        <w:t xml:space="preserve"> 2200 people in ICu but with a positive outcome in the allocation of resources in the controls. Infact, in the last strategy, in which we want to maximise the number of vaccinated people, the controls on infected hospitalized not in IC is lower (30%) than that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t>
      </w:r>
      <w:proofErr w:type="gramStart"/>
      <w:r w:rsidR="006F1D62">
        <w:rPr>
          <w:sz w:val="24"/>
          <w:szCs w:val="24"/>
        </w:rPr>
        <w:t>weeks</w:t>
      </w:r>
      <w:proofErr w:type="gramEnd"/>
      <w:r w:rsidR="006F1D62">
        <w:rPr>
          <w:sz w:val="24"/>
          <w:szCs w:val="24"/>
        </w:rPr>
        <w:t xml:space="preserve"> the control effort on vaccine has a growth from 0.2 to 0.95, this means that the government has to rely in the vaccination campaign to keep low the infected people that have complications. </w:t>
      </w:r>
    </w:p>
    <w:p w14:paraId="4E865390" w14:textId="14497E85" w:rsidR="00CD6A29" w:rsidRDefault="00CD6A29" w:rsidP="002E19EC">
      <w:pPr>
        <w:pStyle w:val="Paragrafoelenco"/>
        <w:rPr>
          <w:sz w:val="24"/>
          <w:szCs w:val="24"/>
        </w:rPr>
      </w:pPr>
      <w:r>
        <w:rPr>
          <w:sz w:val="24"/>
          <w:szCs w:val="24"/>
        </w:rPr>
        <w:t xml:space="preserve">Overall, the decision of which strategy is better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for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w:t>
      </w:r>
      <w:proofErr w:type="gramStart"/>
      <w:r w:rsidR="00906FF4">
        <w:rPr>
          <w:sz w:val="24"/>
          <w:szCs w:val="24"/>
        </w:rPr>
        <w:t>an</w:t>
      </w:r>
      <w:proofErr w:type="gramEnd"/>
      <w:r w:rsidR="00906FF4">
        <w:rPr>
          <w:sz w:val="24"/>
          <w:szCs w:val="24"/>
        </w:rPr>
        <w:t xml:space="preserve">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EB2AF4">
      <w:pPr>
        <w:pStyle w:val="Paragrafoelenco"/>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5CCE999" w14:textId="77777777" w:rsidR="00450FD3" w:rsidRPr="002D576A" w:rsidRDefault="002D576A">
      <w:pPr>
        <w:pStyle w:val="Paragrafoelenco"/>
        <w:jc w:val="both"/>
        <w:rPr>
          <w:b/>
          <w:bCs/>
          <w:sz w:val="36"/>
          <w:szCs w:val="36"/>
        </w:rPr>
      </w:pPr>
      <w:r w:rsidRPr="002D576A">
        <w:rPr>
          <w:b/>
          <w:bCs/>
          <w:sz w:val="36"/>
          <w:szCs w:val="36"/>
        </w:rPr>
        <w:t>4. Conclusions</w:t>
      </w:r>
    </w:p>
    <w:p w14:paraId="712A47C7" w14:textId="77777777" w:rsidR="00450FD3" w:rsidRPr="002D576A" w:rsidRDefault="00450FD3">
      <w:pPr>
        <w:pStyle w:val="Paragrafoelenco"/>
        <w:jc w:val="both"/>
        <w:rPr>
          <w:sz w:val="24"/>
          <w:szCs w:val="24"/>
        </w:rPr>
      </w:pPr>
    </w:p>
    <w:p w14:paraId="7E109C25" w14:textId="77777777" w:rsidR="00450FD3" w:rsidRDefault="002D576A">
      <w:pPr>
        <w:pStyle w:val="Paragrafoelenco"/>
        <w:jc w:val="both"/>
        <w:rPr>
          <w:sz w:val="24"/>
          <w:szCs w:val="24"/>
        </w:rPr>
      </w:pPr>
      <w:r>
        <w:rPr>
          <w:sz w:val="24"/>
          <w:szCs w:val="24"/>
        </w:rPr>
        <w:t>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hot to best allocate the control effort of the epidemic over the time period necessary to mitigate the number of infected hospitalised in Intensive Care and not?</w:t>
      </w:r>
    </w:p>
    <w:p w14:paraId="5E432536" w14:textId="7AF5FBA5" w:rsidR="00450FD3" w:rsidRDefault="002D576A">
      <w:pPr>
        <w:pStyle w:val="Paragrafoelenco"/>
        <w:jc w:val="both"/>
        <w:rPr>
          <w:sz w:val="24"/>
          <w:szCs w:val="24"/>
        </w:rPr>
      </w:pPr>
      <w:r>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Pr>
          <w:sz w:val="24"/>
          <w:szCs w:val="24"/>
        </w:rPr>
        <w:t xml:space="preserve"> but as a trade-off the control effort is higher in the first months</w:t>
      </w:r>
      <w:r>
        <w:rPr>
          <w:sz w:val="24"/>
          <w:szCs w:val="24"/>
        </w:rPr>
        <w:t>. The other strategies, even if the curves are lower than the real one, make the use of higher control efforts or even though are lower than the second and the third strategies, the result in the number in infected hospitalised is not satisfactory.</w:t>
      </w:r>
    </w:p>
    <w:p w14:paraId="50F76680" w14:textId="77777777" w:rsidR="00450FD3" w:rsidRDefault="002D576A">
      <w:pPr>
        <w:pStyle w:val="Paragrafoelenco"/>
        <w:jc w:val="both"/>
        <w:rPr>
          <w:sz w:val="24"/>
          <w:szCs w:val="24"/>
        </w:rPr>
      </w:pPr>
      <w:r>
        <w:rPr>
          <w:sz w:val="24"/>
          <w:szCs w:val="24"/>
        </w:rPr>
        <w:lastRenderedPageBreak/>
        <w:t>One of the limitations of our study is the vaccine control that was set in a particular way in order to accomplish to our task.</w:t>
      </w:r>
    </w:p>
    <w:p w14:paraId="3E242D31" w14:textId="131584F7" w:rsidR="00450FD3" w:rsidRDefault="002D576A">
      <w:pPr>
        <w:pStyle w:val="Paragrafoelenco"/>
        <w:jc w:val="both"/>
        <w:rPr>
          <w:sz w:val="24"/>
          <w:szCs w:val="24"/>
        </w:rPr>
      </w:pPr>
      <w:r>
        <w:rPr>
          <w:sz w:val="24"/>
          <w:szCs w:val="24"/>
        </w:rPr>
        <w:t xml:space="preserve">Our results offer new perspectives and research avenues to control the COVID-19 epidemics. </w:t>
      </w:r>
      <w:proofErr w:type="gramStart"/>
      <w:r>
        <w:rPr>
          <w:sz w:val="24"/>
          <w:szCs w:val="24"/>
        </w:rPr>
        <w:t>In particular, we</w:t>
      </w:r>
      <w:proofErr w:type="gramEnd"/>
      <w:r>
        <w:rPr>
          <w:sz w:val="24"/>
          <w:szCs w:val="24"/>
        </w:rPr>
        <w:t xml:space="preserve"> find that alleviate epidemic controls and moreover the preventive control too early all tend to only delay the epidemic wave and cause an overcrowding of the hospitals. An open topic could be to predict the dynamic system evolution by </w:t>
      </w:r>
      <w:proofErr w:type="gramStart"/>
      <w:r>
        <w:rPr>
          <w:sz w:val="24"/>
          <w:szCs w:val="24"/>
        </w:rPr>
        <w:t>an</w:t>
      </w:r>
      <w:proofErr w:type="gramEnd"/>
      <w:r>
        <w:rPr>
          <w:sz w:val="24"/>
          <w:szCs w:val="24"/>
        </w:rPr>
        <w:t xml:space="preserve"> </w:t>
      </w:r>
      <w:r>
        <w:rPr>
          <w:color w:val="FF0000"/>
          <w:sz w:val="24"/>
          <w:szCs w:val="24"/>
        </w:rPr>
        <w:t>M</w:t>
      </w:r>
      <w:r w:rsidR="003738DC">
        <w:rPr>
          <w:color w:val="FF0000"/>
          <w:sz w:val="24"/>
          <w:szCs w:val="24"/>
        </w:rPr>
        <w:t>odel Predictive Control (M</w:t>
      </w:r>
      <w:r>
        <w:rPr>
          <w:color w:val="FF0000"/>
          <w:sz w:val="24"/>
          <w:szCs w:val="24"/>
        </w:rPr>
        <w:t>PC(?)</w:t>
      </w:r>
      <w:r w:rsidR="003738DC">
        <w:rPr>
          <w:color w:val="FF0000"/>
          <w:sz w:val="24"/>
          <w:szCs w:val="24"/>
        </w:rPr>
        <w:t>)</w:t>
      </w:r>
      <w:r>
        <w:rPr>
          <w:color w:val="FF0000"/>
          <w:sz w:val="24"/>
          <w:szCs w:val="24"/>
        </w:rPr>
        <w:t xml:space="preserve"> method </w:t>
      </w:r>
      <w:r>
        <w:rPr>
          <w:sz w:val="24"/>
          <w:szCs w:val="24"/>
        </w:rPr>
        <w:t>and therefore act on the controls in time in order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7" w:name="_Toc67846364"/>
      <w:r>
        <w:t>References</w:t>
      </w:r>
      <w:bookmarkEnd w:id="7"/>
    </w:p>
    <w:p w14:paraId="29F63125" w14:textId="77777777" w:rsidR="00450FD3" w:rsidRDefault="00450FD3">
      <w:pPr>
        <w:pStyle w:val="Paragrafoelenco"/>
        <w:jc w:val="both"/>
        <w:rPr>
          <w:sz w:val="24"/>
          <w:szCs w:val="24"/>
        </w:rPr>
      </w:pPr>
    </w:p>
    <w:p w14:paraId="4F5513CA" w14:textId="77777777" w:rsidR="00C53ADC" w:rsidRDefault="00C53ADC" w:rsidP="00C53ADC">
      <w:pPr>
        <w:rPr>
          <w:lang w:val="it-IT"/>
        </w:rPr>
      </w:pPr>
      <w:r w:rsidRPr="009C7670">
        <w:rPr>
          <w:lang w:val="it-IT"/>
        </w:rPr>
        <w:t xml:space="preserve">[1] “Coronavius, </w:t>
      </w:r>
      <w:r>
        <w:rPr>
          <w:lang w:val="it-IT"/>
        </w:rPr>
        <w:t xml:space="preserve">primi casi in Italia: 16 in Lombardia”, da Tgcom24, </w:t>
      </w:r>
      <w:hyperlink r:id="rId16" w:history="1">
        <w:r w:rsidRPr="00D043F6">
          <w:rPr>
            <w:rStyle w:val="Collegamentoipertestuale"/>
            <w:lang w:val="it-IT"/>
          </w:rPr>
          <w:t>https://www.tgcom24.mediaset.it/cronaca/lombardia/coronavirus-un-contagiato-in-lombardia-ricoverato-nel-milanese_15091444-202002a.shtml</w:t>
        </w:r>
      </w:hyperlink>
    </w:p>
    <w:p w14:paraId="0DE505A0" w14:textId="77777777" w:rsidR="00C53ADC" w:rsidRDefault="00C53ADC" w:rsidP="00C53ADC">
      <w:pPr>
        <w:rPr>
          <w:lang w:val="it-IT"/>
        </w:rPr>
      </w:pPr>
      <w:r w:rsidRPr="009C7670">
        <w:rPr>
          <w:lang w:val="it-IT"/>
        </w:rPr>
        <w:t xml:space="preserve">[2] “Decreto </w:t>
      </w:r>
      <w:r>
        <w:rPr>
          <w:lang w:val="it-IT"/>
        </w:rPr>
        <w:t xml:space="preserve">coronavirus, ecco tutte le misure del governo”, </w:t>
      </w:r>
      <w:proofErr w:type="gramStart"/>
      <w:r>
        <w:rPr>
          <w:lang w:val="it-IT"/>
        </w:rPr>
        <w:t>da La</w:t>
      </w:r>
      <w:proofErr w:type="gramEnd"/>
      <w:r>
        <w:rPr>
          <w:lang w:val="it-IT"/>
        </w:rPr>
        <w:t xml:space="preserve"> Repubblica</w:t>
      </w:r>
      <w:r w:rsidRPr="009C7670">
        <w:rPr>
          <w:lang w:val="it-IT"/>
        </w:rPr>
        <w:t xml:space="preserve"> </w:t>
      </w:r>
      <w:hyperlink r:id="rId17" w:history="1">
        <w:r w:rsidRPr="00D043F6">
          <w:rPr>
            <w:rStyle w:val="Collegamentoipertestuale"/>
            <w:lang w:val="it-IT"/>
          </w:rPr>
          <w:t>https://www.repubblica.it/politica/2020/03/01/news/coronavirus_misure_governo-249980561/</w:t>
        </w:r>
      </w:hyperlink>
    </w:p>
    <w:p w14:paraId="26158B6A" w14:textId="77777777" w:rsidR="00C53ADC" w:rsidRPr="00C53ADC" w:rsidRDefault="00C53ADC" w:rsidP="00C53ADC">
      <w:pPr>
        <w:rPr>
          <w:lang w:val="it-IT"/>
        </w:rPr>
      </w:pPr>
      <w:r w:rsidRPr="005962E9">
        <w:rPr>
          <w:lang w:val="it-IT"/>
        </w:rPr>
        <w:t xml:space="preserve">[3] Ministero della Salute, (Italian Ministry of Health) </w:t>
      </w:r>
      <w:hyperlink r:id="rId18" w:history="1">
        <w:r w:rsidRPr="005962E9">
          <w:rPr>
            <w:rStyle w:val="Collegamentoipertestuale"/>
            <w:lang w:val="it-IT"/>
          </w:rPr>
          <w:t>http://www.salute.gov.it/imgs/C_17_notizie_4403_0_file.pdf</w:t>
        </w:r>
      </w:hyperlink>
    </w:p>
    <w:p w14:paraId="23923581" w14:textId="77777777" w:rsidR="00C53ADC" w:rsidRPr="00C65457" w:rsidRDefault="00C53ADC" w:rsidP="00C53ADC">
      <w:pPr>
        <w:autoSpaceDE w:val="0"/>
        <w:autoSpaceDN w:val="0"/>
        <w:adjustRightInd w:val="0"/>
        <w:spacing w:after="0" w:line="240" w:lineRule="auto"/>
        <w:rPr>
          <w:rFonts w:ascii="MinionPro-Regular" w:hAnsi="MinionPro-Regular" w:cs="MinionPro-Regular"/>
          <w:color w:val="3B6A9E"/>
          <w:lang w:val="it-IT"/>
        </w:rPr>
      </w:pPr>
      <w:r w:rsidRPr="009A285E">
        <w:rPr>
          <w:lang w:val="it-IT"/>
        </w:rPr>
        <w:t xml:space="preserve">[4] Dati e notizie dal portale della </w:t>
      </w:r>
      <w:r w:rsidRPr="009A285E">
        <w:rPr>
          <w:rFonts w:ascii="MinionPro-Regular" w:hAnsi="MinionPro-Regular" w:cs="MinionPro-Regular"/>
          <w:color w:val="000000"/>
          <w:lang w:val="it-IT"/>
        </w:rPr>
        <w:t xml:space="preserve">Protezione Civile. </w:t>
      </w:r>
      <w:r w:rsidRPr="005962E9">
        <w:rPr>
          <w:rFonts w:ascii="MinionPro-Regular" w:hAnsi="MinionPro-Regular" w:cs="MinionPro-Regular"/>
          <w:color w:val="000000"/>
          <w:lang w:val="it-IT"/>
        </w:rPr>
        <w:t xml:space="preserve">Situazione Italia al 5 marzo. </w:t>
      </w:r>
      <w:r w:rsidRPr="005962E9">
        <w:rPr>
          <w:rFonts w:ascii="MinionPro-Regular" w:hAnsi="MinionPro-Regular" w:cs="MinionPro-Regular"/>
          <w:color w:val="3B6A9E"/>
          <w:lang w:val="it-IT"/>
        </w:rPr>
        <w:t>http://www.salute.gov.it/portale/nuovocoronavirus/dettaglioNotizieNuovoCoronavirus.jsp?lingua</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i</w:t>
      </w:r>
      <w:r>
        <w:rPr>
          <w:rFonts w:ascii="MinionPro-Regular" w:hAnsi="MinionPro-Regular" w:cs="MinionPro-Regular"/>
          <w:color w:val="3B6A9E"/>
          <w:lang w:val="it-IT"/>
        </w:rPr>
        <w:t>t</w:t>
      </w:r>
      <w:r w:rsidRPr="005962E9">
        <w:rPr>
          <w:rFonts w:ascii="MinionPro-Regular" w:hAnsi="MinionPro-Regular" w:cs="MinionPro-Regular"/>
          <w:color w:val="3B6A9E"/>
          <w:lang w:val="it-IT"/>
        </w:rPr>
        <w:t>aliano&amp;menu</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notizie&amp;p</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dalministero&amp;id</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 xml:space="preserve">4157 </w:t>
      </w:r>
      <w:r w:rsidRPr="005962E9">
        <w:rPr>
          <w:rFonts w:ascii="MinionPro-Regular" w:hAnsi="MinionPro-Regular" w:cs="MinionPro-Regular"/>
          <w:color w:val="000000"/>
          <w:lang w:val="it-IT"/>
        </w:rPr>
        <w:t>(5 March 2020).</w:t>
      </w:r>
    </w:p>
    <w:p w14:paraId="3B1B6118"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rsidRPr="009A285E">
        <w:rPr>
          <w:rFonts w:ascii="MinionPro-Regular" w:hAnsi="MinionPro-Regular" w:cs="MinionPro-Regular"/>
          <w:color w:val="000000"/>
        </w:rPr>
        <w:t>[5] Chronology of main steps and legal acts taken by the Italian Government for</w:t>
      </w:r>
      <w:r>
        <w:rPr>
          <w:rFonts w:ascii="MinionPro-Regular" w:hAnsi="MinionPro-Regular" w:cs="MinionPro-Regular"/>
          <w:color w:val="000000"/>
        </w:rPr>
        <w:t xml:space="preserve"> </w:t>
      </w:r>
      <w:r w:rsidRPr="009A285E">
        <w:rPr>
          <w:rFonts w:ascii="MinionPro-Regular" w:hAnsi="MinionPro-Regular" w:cs="MinionPro-Regular"/>
          <w:color w:val="000000"/>
        </w:rPr>
        <w:t>the containment of the</w:t>
      </w:r>
      <w:r>
        <w:rPr>
          <w:rFonts w:ascii="MinionPro-Regular" w:hAnsi="MinionPro-Regular" w:cs="MinionPro-Regular"/>
          <w:color w:val="000000"/>
        </w:rPr>
        <w:t xml:space="preserve"> </w:t>
      </w:r>
      <w:r w:rsidRPr="009A285E">
        <w:rPr>
          <w:rFonts w:ascii="MinionPro-Regular" w:hAnsi="MinionPro-Regular" w:cs="MinionPro-Regular"/>
          <w:color w:val="000000"/>
        </w:rPr>
        <w:t xml:space="preserve">COVID-19 epidemiological emergency. </w:t>
      </w:r>
      <w:r w:rsidRPr="009A285E">
        <w:rPr>
          <w:rFonts w:ascii="MinionPro-Regular" w:hAnsi="MinionPro-Regular" w:cs="MinionPro-Regular"/>
          <w:color w:val="3B6A9E"/>
        </w:rPr>
        <w:t>http://www.protezionecivile.gov.it/documents/20182/1227694/Summary</w:t>
      </w:r>
      <w:r w:rsidRPr="009A285E">
        <w:rPr>
          <w:rFonts w:ascii="STIXGeneral-Regular" w:hAnsi="STIXGeneral-Regular" w:cs="STIXGeneral-Regular"/>
          <w:color w:val="3B6A9E"/>
        </w:rPr>
        <w:t>+</w:t>
      </w:r>
      <w:r w:rsidRPr="009A285E">
        <w:rPr>
          <w:rFonts w:ascii="MinionPro-Regular" w:hAnsi="MinionPro-Regular" w:cs="MinionPro-Regular"/>
          <w:color w:val="3B6A9E"/>
        </w:rPr>
        <w:t>of</w:t>
      </w:r>
      <w:r w:rsidRPr="009A285E">
        <w:rPr>
          <w:rFonts w:ascii="STIXGeneral-Regular" w:hAnsi="STIXGeneral-Regular" w:cs="STIXGeneral-Regular"/>
          <w:color w:val="3B6A9E"/>
        </w:rPr>
        <w:t>+</w:t>
      </w:r>
      <w:r w:rsidRPr="009A285E">
        <w:rPr>
          <w:rFonts w:ascii="MinionPro-Regular" w:hAnsi="MinionPro-Regular" w:cs="MinionPro-Regular"/>
          <w:color w:val="3B6A9E"/>
        </w:rPr>
        <w:t>measures</w:t>
      </w:r>
      <w:r w:rsidRPr="009A285E">
        <w:rPr>
          <w:rFonts w:ascii="STIXGeneral-Regular" w:hAnsi="STIXGeneral-Regular" w:cs="STIXGeneral-Regular"/>
          <w:color w:val="3B6A9E"/>
        </w:rPr>
        <w:t>+</w:t>
      </w:r>
      <w:r w:rsidRPr="009A285E">
        <w:rPr>
          <w:rFonts w:ascii="MinionPro-Regular" w:hAnsi="MinionPro-Regular" w:cs="MinionPro-Regular"/>
          <w:color w:val="3B6A9E"/>
        </w:rPr>
        <w:t>ta</w:t>
      </w:r>
    </w:p>
    <w:p w14:paraId="24689748" w14:textId="77777777" w:rsidR="00C53ADC" w:rsidRDefault="00C53ADC" w:rsidP="00C53ADC">
      <w:pPr>
        <w:autoSpaceDE w:val="0"/>
        <w:autoSpaceDN w:val="0"/>
        <w:adjustRightInd w:val="0"/>
        <w:spacing w:after="0" w:line="240" w:lineRule="auto"/>
        <w:rPr>
          <w:rFonts w:ascii="MinionPro-Regular" w:hAnsi="MinionPro-Regular" w:cs="MinionPro-Regular"/>
          <w:color w:val="3B6A9E"/>
        </w:rPr>
      </w:pPr>
      <w:r w:rsidRPr="009A285E">
        <w:rPr>
          <w:rFonts w:ascii="MinionPro-Regular" w:hAnsi="MinionPro-Regular" w:cs="MinionPro-Regular"/>
          <w:color w:val="3B6A9E"/>
        </w:rPr>
        <w:t>ken</w:t>
      </w:r>
      <w:r w:rsidRPr="009A285E">
        <w:rPr>
          <w:rFonts w:ascii="STIXGeneral-Regular" w:hAnsi="STIXGeneral-Regular" w:cs="STIXGeneral-Regular"/>
          <w:color w:val="3B6A9E"/>
        </w:rPr>
        <w:t>+</w:t>
      </w:r>
      <w:r w:rsidRPr="009A285E">
        <w:rPr>
          <w:rFonts w:ascii="MinionPro-Regular" w:hAnsi="MinionPro-Regular" w:cs="MinionPro-Regular"/>
          <w:color w:val="3B6A9E"/>
        </w:rPr>
        <w:t>against</w:t>
      </w:r>
      <w:r w:rsidRPr="009A285E">
        <w:rPr>
          <w:rFonts w:ascii="STIXGeneral-Regular" w:hAnsi="STIXGeneral-Regular" w:cs="STIXGeneral-Regular"/>
          <w:color w:val="3B6A9E"/>
        </w:rPr>
        <w:t>+</w:t>
      </w:r>
      <w:r w:rsidRPr="009A285E">
        <w:rPr>
          <w:rFonts w:ascii="MinionPro-Regular" w:hAnsi="MinionPro-Regular" w:cs="MinionPro-Regular"/>
          <w:color w:val="3B6A9E"/>
        </w:rPr>
        <w:t>the</w:t>
      </w:r>
      <w:r w:rsidRPr="009A285E">
        <w:rPr>
          <w:rFonts w:ascii="STIXGeneral-Regular" w:hAnsi="STIXGeneral-Regular" w:cs="STIXGeneral-Regular"/>
          <w:color w:val="3B6A9E"/>
        </w:rPr>
        <w:t>+</w:t>
      </w:r>
      <w:r w:rsidRPr="009A285E">
        <w:rPr>
          <w:rFonts w:ascii="MinionPro-Regular" w:hAnsi="MinionPro-Regular" w:cs="MinionPro-Regular"/>
          <w:color w:val="3B6A9E"/>
        </w:rPr>
        <w:t>spread</w:t>
      </w:r>
      <w:r w:rsidRPr="009A285E">
        <w:rPr>
          <w:rFonts w:ascii="STIXGeneral-Regular" w:hAnsi="STIXGeneral-Regular" w:cs="STIXGeneral-Regular"/>
          <w:color w:val="3B6A9E"/>
        </w:rPr>
        <w:t>+</w:t>
      </w:r>
      <w:r w:rsidRPr="009A285E">
        <w:rPr>
          <w:rFonts w:ascii="MinionPro-Regular" w:hAnsi="MinionPro-Regular" w:cs="MinionPro-Regular"/>
          <w:color w:val="3B6A9E"/>
        </w:rPr>
        <w:t>of</w:t>
      </w:r>
      <w:r w:rsidRPr="009A285E">
        <w:rPr>
          <w:rFonts w:ascii="STIXGeneral-Regular" w:hAnsi="STIXGeneral-Regular" w:cs="STIXGeneral-Regular"/>
          <w:color w:val="3B6A9E"/>
        </w:rPr>
        <w:t>+</w:t>
      </w:r>
      <w:r w:rsidRPr="009A285E">
        <w:rPr>
          <w:rFonts w:ascii="MinionPro-Regular" w:hAnsi="MinionPro-Regular" w:cs="MinionPro-Regular"/>
          <w:color w:val="3B6A9E"/>
        </w:rPr>
        <w:t>C-19/c16459ad-4e52-4e90-90f3-c6a2b30c17eb</w:t>
      </w:r>
    </w:p>
    <w:p w14:paraId="5B807C85" w14:textId="77777777" w:rsidR="00C53ADC" w:rsidRPr="009A285E" w:rsidRDefault="00C53ADC" w:rsidP="00C53ADC">
      <w:pPr>
        <w:autoSpaceDE w:val="0"/>
        <w:autoSpaceDN w:val="0"/>
        <w:adjustRightInd w:val="0"/>
        <w:spacing w:after="0" w:line="240" w:lineRule="auto"/>
        <w:rPr>
          <w:rFonts w:ascii="MinionPro-Regular" w:hAnsi="MinionPro-Regular" w:cs="MinionPro-Regular"/>
          <w:color w:val="3B6A9E"/>
        </w:rPr>
      </w:pPr>
    </w:p>
    <w:p w14:paraId="6B35F293"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sidRPr="009A285E">
        <w:rPr>
          <w:rFonts w:ascii="MinionPro-Regular" w:hAnsi="MinionPro-Regular" w:cs="MinionPro-Regular"/>
          <w:color w:val="000000"/>
        </w:rPr>
        <w:t xml:space="preserve">[6] </w:t>
      </w:r>
      <w:r w:rsidRPr="009A285E">
        <w:rPr>
          <w:rFonts w:ascii="MinionPro-Regular" w:hAnsi="MinionPro-Regular" w:cs="MinionPro-Regular"/>
        </w:rPr>
        <w:t>Wang, Y., Wang, Y., Chen, Y. &amp; Quin, Q. Unique epidemiological and clinical</w:t>
      </w:r>
      <w:r>
        <w:rPr>
          <w:rFonts w:ascii="MinionPro-Regular" w:hAnsi="MinionPro-Regular" w:cs="MinionPro-Regular"/>
        </w:rPr>
        <w:t xml:space="preserve"> </w:t>
      </w:r>
      <w:r w:rsidRPr="009A285E">
        <w:rPr>
          <w:rFonts w:ascii="MinionPro-Regular" w:hAnsi="MinionPro-Regular" w:cs="MinionPro-Regular"/>
        </w:rPr>
        <w:t>features of the emerging 2019 novel coronavirus pneumonia (COVID-19)</w:t>
      </w:r>
      <w:r>
        <w:rPr>
          <w:rFonts w:ascii="MinionPro-Regular" w:hAnsi="MinionPro-Regular" w:cs="MinionPro-Regular"/>
        </w:rPr>
        <w:t xml:space="preserve"> </w:t>
      </w:r>
      <w:r w:rsidRPr="009A285E">
        <w:rPr>
          <w:rFonts w:ascii="MinionPro-Regular" w:hAnsi="MinionPro-Regular" w:cs="MinionPro-Regular"/>
        </w:rPr>
        <w:t xml:space="preserve">implicate special control measures. </w:t>
      </w:r>
      <w:r w:rsidRPr="009A285E">
        <w:rPr>
          <w:rFonts w:ascii="MinionPro-It" w:hAnsi="MinionPro-It" w:cs="MinionPro-It"/>
          <w:i/>
          <w:iCs/>
        </w:rPr>
        <w:t xml:space="preserve">J. Med. </w:t>
      </w:r>
      <w:r w:rsidRPr="00BC137B">
        <w:rPr>
          <w:rFonts w:ascii="MinionPro-It" w:hAnsi="MinionPro-It" w:cs="MinionPro-It"/>
          <w:i/>
          <w:iCs/>
        </w:rPr>
        <w:t xml:space="preserve">Virol. </w:t>
      </w:r>
      <w:r w:rsidRPr="00BC137B">
        <w:rPr>
          <w:rFonts w:ascii="MinionPro-Bold" w:hAnsi="MinionPro-Bold" w:cs="MinionPro-Bold"/>
          <w:b/>
          <w:bCs/>
        </w:rPr>
        <w:t>92</w:t>
      </w:r>
      <w:r w:rsidRPr="00BC137B">
        <w:rPr>
          <w:rFonts w:ascii="MinionPro-Regular" w:hAnsi="MinionPro-Regular" w:cs="MinionPro-Regular"/>
        </w:rPr>
        <w:t>, 568–576 (2020).</w:t>
      </w:r>
    </w:p>
    <w:p w14:paraId="0FA7DFB3"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t>[7</w:t>
      </w:r>
      <w:r w:rsidRPr="00BC137B">
        <w:t xml:space="preserve">] </w:t>
      </w:r>
      <w:r w:rsidRPr="00BC137B">
        <w:rPr>
          <w:rFonts w:ascii="MinionPro-Regular" w:hAnsi="MinionPro-Regular" w:cs="MinionPro-Regular"/>
          <w:color w:val="000000"/>
        </w:rPr>
        <w:t>Fisman, D., Rivers, C., Lofgren, E. &amp; Majumder, M. S. Estimation of</w:t>
      </w:r>
      <w:r>
        <w:rPr>
          <w:rFonts w:ascii="MinionPro-Regular" w:hAnsi="MinionPro-Regular" w:cs="MinionPro-Regular"/>
          <w:color w:val="000000"/>
        </w:rPr>
        <w:t xml:space="preserve"> </w:t>
      </w:r>
      <w:r w:rsidRPr="00BC137B">
        <w:rPr>
          <w:rFonts w:ascii="MinionPro-Regular" w:hAnsi="MinionPro-Regular" w:cs="MinionPro-Regular"/>
          <w:color w:val="000000"/>
        </w:rPr>
        <w:t>MERS-Coronavirus reproductive number and case fatality rate for the Spring</w:t>
      </w:r>
      <w:r>
        <w:rPr>
          <w:rFonts w:ascii="MinionPro-Regular" w:hAnsi="MinionPro-Regular" w:cs="MinionPro-Regular"/>
          <w:color w:val="000000"/>
        </w:rPr>
        <w:t xml:space="preserve"> </w:t>
      </w:r>
      <w:r w:rsidRPr="00BC137B">
        <w:rPr>
          <w:rFonts w:ascii="MinionPro-Regular" w:hAnsi="MinionPro-Regular" w:cs="MinionPro-Regular"/>
          <w:color w:val="000000"/>
        </w:rPr>
        <w:t xml:space="preserve">2014 Saudi Arabia outbreak: insights from publicly available data. </w:t>
      </w:r>
      <w:r w:rsidRPr="00703236">
        <w:rPr>
          <w:rFonts w:ascii="MinionPro-It" w:hAnsi="MinionPro-It" w:cs="MinionPro-It"/>
          <w:i/>
          <w:iCs/>
          <w:color w:val="000000"/>
        </w:rPr>
        <w:t>PLoS Curr.</w:t>
      </w:r>
    </w:p>
    <w:p w14:paraId="363D97E4" w14:textId="77777777" w:rsidR="00C53ADC" w:rsidRPr="00703236" w:rsidRDefault="00CC05D9" w:rsidP="00C53ADC">
      <w:pPr>
        <w:autoSpaceDE w:val="0"/>
        <w:autoSpaceDN w:val="0"/>
        <w:adjustRightInd w:val="0"/>
        <w:spacing w:after="0" w:line="240" w:lineRule="auto"/>
        <w:rPr>
          <w:rFonts w:ascii="MinionPro-Regular" w:hAnsi="MinionPro-Regular" w:cs="MinionPro-Regular"/>
          <w:color w:val="3B6A9E"/>
        </w:rPr>
      </w:pPr>
      <w:hyperlink r:id="rId19" w:history="1">
        <w:r w:rsidR="00C53ADC" w:rsidRPr="00703236">
          <w:rPr>
            <w:rStyle w:val="Collegamentoipertestuale"/>
            <w:rFonts w:ascii="MinionPro-Regular" w:hAnsi="MinionPro-Regular" w:cs="MinionPro-Regular"/>
          </w:rPr>
          <w:t>https://doi.org/10.1371/currents.outbreaks.98d2f8f3382d84f390736cd5f5fe133c</w:t>
        </w:r>
      </w:hyperlink>
      <w:r w:rsidR="00C53ADC" w:rsidRPr="00703236">
        <w:rPr>
          <w:rFonts w:ascii="MinionPro-Regular" w:hAnsi="MinionPro-Regular" w:cs="MinionPro-Regular"/>
          <w:color w:val="3B6A9E"/>
        </w:rPr>
        <w:t xml:space="preserve"> </w:t>
      </w:r>
      <w:r w:rsidR="00C53ADC" w:rsidRPr="00703236">
        <w:rPr>
          <w:rFonts w:ascii="MinionPro-Regular" w:hAnsi="MinionPro-Regular" w:cs="MinionPro-Regular"/>
          <w:color w:val="000000"/>
        </w:rPr>
        <w:t>(2014).</w:t>
      </w:r>
    </w:p>
    <w:p w14:paraId="73F8D2B4"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sidRPr="00BC137B">
        <w:rPr>
          <w:rFonts w:ascii="MinionPro-Regular" w:hAnsi="MinionPro-Regular" w:cs="MinionPro-Regular"/>
          <w:color w:val="000000"/>
        </w:rPr>
        <w:t xml:space="preserve">[8] </w:t>
      </w:r>
      <w:r w:rsidRPr="00BC137B">
        <w:rPr>
          <w:rFonts w:ascii="MinionPro-Regular" w:hAnsi="MinionPro-Regular" w:cs="MinionPro-Regular"/>
        </w:rPr>
        <w:t>Zhao, S. et al. Preliminary estimation of the basic reproduction number of</w:t>
      </w:r>
      <w:r>
        <w:rPr>
          <w:rFonts w:ascii="MinionPro-Regular" w:hAnsi="MinionPro-Regular" w:cs="MinionPro-Regular"/>
        </w:rPr>
        <w:t xml:space="preserve"> </w:t>
      </w:r>
      <w:r w:rsidRPr="00BC137B">
        <w:rPr>
          <w:rFonts w:ascii="MinionPro-Regular" w:hAnsi="MinionPro-Regular" w:cs="MinionPro-Regular"/>
        </w:rPr>
        <w:t>novel coronavirus (2019-nCoV) in China, from 2019 to 2020: a data-driven</w:t>
      </w:r>
      <w:r>
        <w:rPr>
          <w:rFonts w:ascii="MinionPro-Regular" w:hAnsi="MinionPro-Regular" w:cs="MinionPro-Regular"/>
        </w:rPr>
        <w:t xml:space="preserve"> </w:t>
      </w:r>
      <w:r w:rsidRPr="00BC137B">
        <w:rPr>
          <w:rFonts w:ascii="MinionPro-Regular" w:hAnsi="MinionPro-Regular" w:cs="MinionPro-Regular"/>
        </w:rPr>
        <w:t xml:space="preserve">analysis in the early phase of the outbreak. </w:t>
      </w:r>
      <w:r w:rsidRPr="00703236">
        <w:rPr>
          <w:rFonts w:ascii="MinionPro-It" w:hAnsi="MinionPro-It" w:cs="MinionPro-It"/>
          <w:i/>
          <w:iCs/>
        </w:rPr>
        <w:t xml:space="preserve">Int. J. Inf. Dis. </w:t>
      </w:r>
      <w:r w:rsidRPr="00703236">
        <w:rPr>
          <w:rFonts w:ascii="MinionPro-Bold" w:hAnsi="MinionPro-Bold" w:cs="MinionPro-Bold"/>
          <w:b/>
          <w:bCs/>
        </w:rPr>
        <w:t>92</w:t>
      </w:r>
      <w:r w:rsidRPr="00703236">
        <w:rPr>
          <w:rFonts w:ascii="MinionPro-Regular" w:hAnsi="MinionPro-Regular" w:cs="MinionPro-Regular"/>
        </w:rPr>
        <w:t>, 214–217 (2020).</w:t>
      </w:r>
    </w:p>
    <w:p w14:paraId="2BB82B2B"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rsidRPr="00BC137B">
        <w:rPr>
          <w:rFonts w:ascii="MinionPro-Regular" w:hAnsi="MinionPro-Regular" w:cs="MinionPro-Regular"/>
        </w:rPr>
        <w:t xml:space="preserve">[9] </w:t>
      </w:r>
      <w:r w:rsidRPr="00BC137B">
        <w:rPr>
          <w:rFonts w:ascii="MinionPro-Regular" w:hAnsi="MinionPro-Regular" w:cs="MinionPro-Regular"/>
          <w:color w:val="000000"/>
        </w:rPr>
        <w:t>Read, J., Bridgen, J. R., Cummings, D. A. T., Ho, A. &amp; Jewell, C. P. Novel</w:t>
      </w:r>
      <w:r>
        <w:rPr>
          <w:rFonts w:ascii="MinionPro-Regular" w:hAnsi="MinionPro-Regular" w:cs="MinionPro-Regular"/>
          <w:color w:val="000000"/>
        </w:rPr>
        <w:t xml:space="preserve"> </w:t>
      </w:r>
      <w:r w:rsidRPr="00BC137B">
        <w:rPr>
          <w:rFonts w:ascii="MinionPro-Regular" w:hAnsi="MinionPro-Regular" w:cs="MinionPro-Regular"/>
          <w:color w:val="000000"/>
        </w:rPr>
        <w:t>coronavirus 2019-nCoV: early estimation of epidemiological parameters and</w:t>
      </w:r>
      <w:r>
        <w:rPr>
          <w:rFonts w:ascii="MinionPro-Regular" w:hAnsi="MinionPro-Regular" w:cs="MinionPro-Regular"/>
          <w:color w:val="000000"/>
        </w:rPr>
        <w:t xml:space="preserve"> </w:t>
      </w:r>
      <w:r w:rsidRPr="00BC137B">
        <w:rPr>
          <w:rFonts w:ascii="MinionPro-Regular" w:hAnsi="MinionPro-Regular" w:cs="MinionPro-Regular"/>
          <w:color w:val="000000"/>
        </w:rPr>
        <w:t xml:space="preserve">epidemic predictions. Preprint at </w:t>
      </w:r>
      <w:r w:rsidRPr="00BC137B">
        <w:rPr>
          <w:rFonts w:ascii="MinionPro-It" w:hAnsi="MinionPro-It" w:cs="MinionPro-It"/>
          <w:i/>
          <w:iCs/>
          <w:color w:val="000000"/>
        </w:rPr>
        <w:t xml:space="preserve">medRxiv </w:t>
      </w:r>
      <w:r w:rsidRPr="00BC137B">
        <w:rPr>
          <w:rFonts w:ascii="MinionPro-Regular" w:hAnsi="MinionPro-Regular" w:cs="MinionPro-Regular"/>
          <w:color w:val="3B6A9E"/>
        </w:rPr>
        <w:t>https://doi.</w:t>
      </w:r>
      <w:r w:rsidRPr="00703236">
        <w:rPr>
          <w:rFonts w:ascii="MinionPro-Regular" w:hAnsi="MinionPro-Regular" w:cs="MinionPro-Regular"/>
          <w:color w:val="3B6A9E"/>
        </w:rPr>
        <w:t xml:space="preserve">org/10.1101/2020.01.23.20018549 </w:t>
      </w:r>
      <w:r w:rsidRPr="00703236">
        <w:rPr>
          <w:rFonts w:ascii="MinionPro-Regular" w:hAnsi="MinionPro-Regular" w:cs="MinionPro-Regular"/>
          <w:color w:val="000000"/>
        </w:rPr>
        <w:t>(2020).</w:t>
      </w:r>
    </w:p>
    <w:p w14:paraId="535CDA20" w14:textId="77777777" w:rsidR="00C53ADC" w:rsidRPr="00C53ADC" w:rsidRDefault="00C53ADC" w:rsidP="00C53ADC">
      <w:pPr>
        <w:autoSpaceDE w:val="0"/>
        <w:autoSpaceDN w:val="0"/>
        <w:adjustRightInd w:val="0"/>
        <w:spacing w:after="0" w:line="240" w:lineRule="auto"/>
        <w:rPr>
          <w:rFonts w:ascii="MinionPro-Regular" w:hAnsi="MinionPro-Regular" w:cs="MinionPro-Regular"/>
          <w:lang w:val="it-IT"/>
        </w:rPr>
      </w:pPr>
      <w:r w:rsidRPr="00BC137B">
        <w:rPr>
          <w:rFonts w:ascii="MinionPro-Regular" w:hAnsi="MinionPro-Regular" w:cs="MinionPro-Regular"/>
          <w:color w:val="000000"/>
        </w:rPr>
        <w:t xml:space="preserve">[10] </w:t>
      </w:r>
      <w:r w:rsidRPr="00BC137B">
        <w:rPr>
          <w:rFonts w:ascii="MinionPro-Regular" w:hAnsi="MinionPro-Regular" w:cs="MinionPro-Regular"/>
        </w:rPr>
        <w:t>Zou, L. et al. SARS-CoV-2 viral load in upper respiratory specimens of</w:t>
      </w:r>
      <w:r>
        <w:rPr>
          <w:rFonts w:ascii="MinionPro-Regular" w:hAnsi="MinionPro-Regular" w:cs="MinionPro-Regular"/>
        </w:rPr>
        <w:t xml:space="preserve"> </w:t>
      </w:r>
      <w:r w:rsidRPr="00BC137B">
        <w:rPr>
          <w:rFonts w:ascii="MinionPro-Regular" w:hAnsi="MinionPro-Regular" w:cs="MinionPro-Regular"/>
        </w:rPr>
        <w:t xml:space="preserve">infected patients. </w:t>
      </w:r>
      <w:r w:rsidRPr="00C53ADC">
        <w:rPr>
          <w:rFonts w:ascii="MinionPro-It" w:hAnsi="MinionPro-It" w:cs="MinionPro-It"/>
          <w:i/>
          <w:iCs/>
          <w:lang w:val="it-IT"/>
        </w:rPr>
        <w:t xml:space="preserve">N. Engl. J. Med. </w:t>
      </w:r>
      <w:r w:rsidRPr="00C53ADC">
        <w:rPr>
          <w:rFonts w:ascii="MinionPro-Bold" w:hAnsi="MinionPro-Bold" w:cs="MinionPro-Bold"/>
          <w:b/>
          <w:bCs/>
          <w:lang w:val="it-IT"/>
        </w:rPr>
        <w:t>382</w:t>
      </w:r>
      <w:r w:rsidRPr="00C53ADC">
        <w:rPr>
          <w:rFonts w:ascii="MinionPro-Regular" w:hAnsi="MinionPro-Regular" w:cs="MinionPro-Regular"/>
          <w:lang w:val="it-IT"/>
        </w:rPr>
        <w:t>, 1177–1179 (2020).</w:t>
      </w:r>
    </w:p>
    <w:p w14:paraId="2C28DEBC" w14:textId="77777777" w:rsidR="00C53ADC" w:rsidRDefault="00C53ADC" w:rsidP="00C53ADC">
      <w:pPr>
        <w:rPr>
          <w:rFonts w:ascii="MinionPro-Regular" w:hAnsi="MinionPro-Regular" w:cs="MinionPro-Regular"/>
          <w:lang w:val="it-IT"/>
        </w:rPr>
      </w:pPr>
      <w:r w:rsidRPr="00E511E2">
        <w:rPr>
          <w:rFonts w:ascii="MinionPro-Regular" w:hAnsi="MinionPro-Regular" w:cs="MinionPro-Regular"/>
          <w:lang w:val="it-IT"/>
        </w:rPr>
        <w:t>[11] Ansa, “i</w:t>
      </w:r>
      <w:r>
        <w:rPr>
          <w:rFonts w:ascii="MinionPro-Regular" w:hAnsi="MinionPro-Regular" w:cs="MinionPro-Regular"/>
          <w:lang w:val="it-IT"/>
        </w:rPr>
        <w:t xml:space="preserve">l 27 dicembre le prime 9.750 dosi di vaccino in tutta italia”, </w:t>
      </w:r>
      <w:r w:rsidRPr="00E511E2">
        <w:rPr>
          <w:rFonts w:ascii="MinionPro-Regular" w:hAnsi="MinionPro-Regular" w:cs="MinionPro-Regular"/>
          <w:lang w:val="it-IT"/>
        </w:rPr>
        <w:t xml:space="preserve"> </w:t>
      </w:r>
      <w:hyperlink r:id="rId20" w:history="1">
        <w:r w:rsidRPr="00D043F6">
          <w:rPr>
            <w:rStyle w:val="Collegamentoipertestuale"/>
            <w:rFonts w:ascii="MinionPro-Regular" w:hAnsi="MinionPro-Regular" w:cs="MinionPro-Regular"/>
            <w:lang w:val="it-IT"/>
          </w:rPr>
          <w:t>https://www.ansa.it/canale_saluteebenessere/notizie/sanita/2020/12/18/il-27-dicembre-le-prime-9.750-dosi-vaccino-in-tutta-italia_1f66d610-5800-4224-9c0f-992a34b19100.html</w:t>
        </w:r>
      </w:hyperlink>
    </w:p>
    <w:p w14:paraId="36F5955C" w14:textId="77777777" w:rsidR="00C53ADC" w:rsidRDefault="00C53ADC" w:rsidP="00C53ADC">
      <w:pPr>
        <w:rPr>
          <w:rFonts w:ascii="MinionPro-Regular" w:hAnsi="MinionPro-Regular" w:cs="MinionPro-Regular"/>
          <w:sz w:val="16"/>
          <w:szCs w:val="16"/>
        </w:rPr>
      </w:pPr>
      <w:r w:rsidRPr="00B058FE">
        <w:rPr>
          <w:rFonts w:ascii="MinionPro-Regular" w:hAnsi="MinionPro-Regular" w:cs="MinionPro-Regular"/>
        </w:rPr>
        <w:t>[12] C</w:t>
      </w:r>
      <w:r>
        <w:rPr>
          <w:rFonts w:ascii="MinionPro-Regular" w:hAnsi="MinionPro-Regular" w:cs="MinionPro-Regular"/>
        </w:rPr>
        <w:t>.</w:t>
      </w:r>
      <w:r w:rsidRPr="00B058FE">
        <w:rPr>
          <w:rFonts w:ascii="MinionPro-Regular" w:hAnsi="MinionPro-Regular" w:cs="MinionPro-Regular"/>
        </w:rPr>
        <w:t xml:space="preserve"> E. Madubueze, S</w:t>
      </w:r>
      <w:r>
        <w:rPr>
          <w:rFonts w:ascii="MinionPro-Regular" w:hAnsi="MinionPro-Regular" w:cs="MinionPro-Regular"/>
        </w:rPr>
        <w:t>.</w:t>
      </w:r>
      <w:r w:rsidRPr="00B058FE">
        <w:rPr>
          <w:rFonts w:ascii="MinionPro-Regular" w:hAnsi="MinionPro-Regular" w:cs="MinionPro-Regular"/>
        </w:rPr>
        <w:t xml:space="preserve"> Dacholl</w:t>
      </w:r>
      <w:r>
        <w:rPr>
          <w:rFonts w:ascii="MinionPro-Regular" w:hAnsi="MinionPro-Regular" w:cs="MinionPro-Regular"/>
        </w:rPr>
        <w:t xml:space="preserve">om, I.O. Onwubuya. Controlling the spread of COVID-19: Optimal Control Analysis. </w:t>
      </w:r>
      <w:r>
        <w:rPr>
          <w:rFonts w:ascii="MinionPro-Regular" w:hAnsi="MinionPro-Regular" w:cs="MinionPro-Regular"/>
          <w:i/>
          <w:iCs/>
        </w:rPr>
        <w:t xml:space="preserve">Hindawi, Computational and Mathematica Methods in Medicine, Vol.2020, </w:t>
      </w:r>
      <w:hyperlink r:id="rId21" w:history="1">
        <w:r w:rsidRPr="00B058FE">
          <w:rPr>
            <w:rStyle w:val="Collegamentoipertestuale"/>
            <w:rFonts w:ascii="MinionPro-Regular" w:hAnsi="MinionPro-Regular" w:cs="MinionPro-Regular"/>
          </w:rPr>
          <w:t>https://doi.org/10.1155/2020/6862516</w:t>
        </w:r>
      </w:hyperlink>
    </w:p>
    <w:p w14:paraId="066FB3B5" w14:textId="77777777" w:rsidR="00C53ADC" w:rsidRPr="00B25CDC" w:rsidRDefault="00C53ADC" w:rsidP="00C53ADC">
      <w:pPr>
        <w:rPr>
          <w:rFonts w:ascii="MinionPro-Regular" w:hAnsi="MinionPro-Regular" w:cs="MinionPro-Regular"/>
        </w:rPr>
      </w:pPr>
      <w:r>
        <w:rPr>
          <w:rFonts w:ascii="MinionPro-Regular" w:hAnsi="MinionPro-Regular" w:cs="MinionPro-Regular"/>
        </w:rPr>
        <w:t xml:space="preserve">[13] </w:t>
      </w:r>
      <w:proofErr w:type="gramStart"/>
      <w:r>
        <w:rPr>
          <w:rFonts w:ascii="MinionPro-Regular" w:hAnsi="MinionPro-Regular" w:cs="MinionPro-Regular"/>
        </w:rPr>
        <w:t>D.Pal</w:t>
      </w:r>
      <w:proofErr w:type="gramEnd"/>
      <w:r>
        <w:rPr>
          <w:rFonts w:ascii="MinionPro-Regular" w:hAnsi="MinionPro-Regular" w:cs="MinionPro-Regular"/>
        </w:rPr>
        <w:t xml:space="preserve">, D. Ghosh, P.K. Santra, G.s. Mahapatra. Mathematical analysis of a COVID-19 Epidemic Model by using data driven epidemiological parameters of diseases spread in India, April 29, 2020, </w:t>
      </w:r>
      <w:r w:rsidRPr="00B25CDC">
        <w:rPr>
          <w:rFonts w:ascii="Arial" w:hAnsi="Arial" w:cs="Arial"/>
          <w:color w:val="0000FF"/>
        </w:rPr>
        <w:t>https://doi.org/10.1101/2020.04.25.20079111</w:t>
      </w:r>
    </w:p>
    <w:p w14:paraId="064DCC99" w14:textId="77777777" w:rsidR="00C53ADC" w:rsidRDefault="00C53ADC" w:rsidP="00C53ADC">
      <w:pPr>
        <w:rPr>
          <w:rFonts w:ascii="MinionPro-Regular" w:hAnsi="MinionPro-Regular" w:cs="MinionPro-Regular"/>
        </w:rPr>
      </w:pPr>
      <w:r w:rsidRPr="00B25CDC">
        <w:rPr>
          <w:rFonts w:ascii="MinionPro-Regular" w:hAnsi="MinionPro-Regular" w:cs="MinionPro-Regular"/>
        </w:rPr>
        <w:t xml:space="preserve">[14] D. Iacoviello, </w:t>
      </w:r>
      <w:proofErr w:type="gramStart"/>
      <w:r w:rsidRPr="00B25CDC">
        <w:rPr>
          <w:rFonts w:ascii="MinionPro-Regular" w:hAnsi="MinionPro-Regular" w:cs="MinionPro-Regular"/>
        </w:rPr>
        <w:t>N.Stastio</w:t>
      </w:r>
      <w:proofErr w:type="gramEnd"/>
      <w:r w:rsidRPr="00B25CDC">
        <w:rPr>
          <w:rFonts w:ascii="MinionPro-Regular" w:hAnsi="MinionPro-Regular" w:cs="MinionPro-Regular"/>
        </w:rPr>
        <w:t>, Optimal control for S</w:t>
      </w:r>
      <w:r>
        <w:rPr>
          <w:rFonts w:ascii="MinionPro-Regular" w:hAnsi="MinionPro-Regular" w:cs="MinionPro-Regular"/>
        </w:rPr>
        <w:t xml:space="preserve">IRC epidemic outbreak, </w:t>
      </w:r>
      <w:r>
        <w:rPr>
          <w:rFonts w:ascii="MinionPro-Regular" w:hAnsi="MinionPro-Regular" w:cs="MinionPro-Regular"/>
          <w:i/>
          <w:iCs/>
        </w:rPr>
        <w:t xml:space="preserve">Elsevier, </w:t>
      </w:r>
      <w:r>
        <w:rPr>
          <w:rFonts w:ascii="MinionPro-Regular" w:hAnsi="MinionPro-Regular" w:cs="MinionPro-Regular"/>
        </w:rPr>
        <w:t>January 11, 2013</w:t>
      </w:r>
    </w:p>
    <w:p w14:paraId="71AEB2A4"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[15]</w:t>
      </w:r>
      <w:r w:rsidRPr="00703236">
        <w:rPr>
          <w:rFonts w:ascii="MinionPro-Regular" w:hAnsi="MinionPro-Regular" w:cs="MinionPro-Regular"/>
          <w:sz w:val="15"/>
          <w:szCs w:val="15"/>
        </w:rPr>
        <w:t xml:space="preserve"> </w:t>
      </w:r>
      <w:r w:rsidRPr="00703236">
        <w:rPr>
          <w:rFonts w:ascii="MinionPro-Regular" w:hAnsi="MinionPro-Regular" w:cs="MinionPro-Regular"/>
        </w:rPr>
        <w:t>Kermack, W. O. &amp; McKendrick, A. G. A contribution to the mathematical</w:t>
      </w:r>
      <w:r>
        <w:rPr>
          <w:rFonts w:ascii="MinionPro-Regular" w:hAnsi="MinionPro-Regular" w:cs="MinionPro-Regular"/>
        </w:rPr>
        <w:t xml:space="preserve"> </w:t>
      </w:r>
      <w:r w:rsidRPr="00703236">
        <w:rPr>
          <w:rFonts w:ascii="MinionPro-Regular" w:hAnsi="MinionPro-Regular" w:cs="MinionPro-Regular"/>
        </w:rPr>
        <w:t xml:space="preserve">theory of epidemics. </w:t>
      </w:r>
      <w:r w:rsidRPr="00703236">
        <w:rPr>
          <w:rFonts w:ascii="MinionPro-It" w:hAnsi="MinionPro-It" w:cs="MinionPro-It"/>
          <w:i/>
          <w:iCs/>
        </w:rPr>
        <w:t xml:space="preserve">Proc. R. Soc. </w:t>
      </w:r>
      <w:r w:rsidRPr="00A619AA">
        <w:rPr>
          <w:rFonts w:ascii="MinionPro-It" w:hAnsi="MinionPro-It" w:cs="MinionPro-It"/>
          <w:i/>
          <w:iCs/>
        </w:rPr>
        <w:t xml:space="preserve">Lond. </w:t>
      </w:r>
      <w:r w:rsidRPr="00A619AA">
        <w:rPr>
          <w:rFonts w:ascii="MinionPro-Bold" w:hAnsi="MinionPro-Bold" w:cs="MinionPro-Bold"/>
          <w:b/>
          <w:bCs/>
        </w:rPr>
        <w:t>115</w:t>
      </w:r>
      <w:r w:rsidRPr="00A619AA">
        <w:rPr>
          <w:rFonts w:ascii="MinionPro-Regular" w:hAnsi="MinionPro-Regular" w:cs="MinionPro-Regular"/>
        </w:rPr>
        <w:t>, 700–721 (1927).</w:t>
      </w:r>
    </w:p>
    <w:p w14:paraId="56082C19" w14:textId="77777777" w:rsidR="00C53ADC" w:rsidRPr="00A619AA" w:rsidRDefault="00C53ADC" w:rsidP="00C53ADC">
      <w:pPr>
        <w:rPr>
          <w:rFonts w:ascii="MinionPro-Regular" w:hAnsi="MinionPro-Regular" w:cs="MinionPro-Regular"/>
        </w:rPr>
      </w:pPr>
      <w:r>
        <w:rPr>
          <w:rFonts w:ascii="MinionPro-Regular" w:hAnsi="MinionPro-Regular" w:cs="MinionPro-Regular"/>
        </w:rPr>
        <w:t>[16] S.</w:t>
      </w:r>
      <w:proofErr w:type="gramStart"/>
      <w:r>
        <w:rPr>
          <w:rFonts w:ascii="MinionPro-Regular" w:hAnsi="MinionPro-Regular" w:cs="MinionPro-Regular"/>
        </w:rPr>
        <w:t>A.Araz</w:t>
      </w:r>
      <w:proofErr w:type="gramEnd"/>
      <w:r>
        <w:rPr>
          <w:rFonts w:ascii="MinionPro-Regular" w:hAnsi="MinionPro-Regular" w:cs="MinionPro-Regular"/>
        </w:rPr>
        <w:t xml:space="preserve">. Analysis of a Covid-19 model: Optimal control, stability and simulations </w:t>
      </w:r>
      <w:r>
        <w:rPr>
          <w:rFonts w:ascii="MinionPro-Regular" w:hAnsi="MinionPro-Regular" w:cs="MinionPro-Regular"/>
          <w:i/>
          <w:iCs/>
        </w:rPr>
        <w:t xml:space="preserve">Elsevier, </w:t>
      </w:r>
      <w:r>
        <w:rPr>
          <w:rFonts w:ascii="MinionPro-Regular" w:hAnsi="MinionPro-Regular" w:cs="MinionPro-Regular"/>
        </w:rPr>
        <w:t>pg. 4, September 29, 2020.</w:t>
      </w:r>
    </w:p>
    <w:p w14:paraId="129091ED" w14:textId="77777777" w:rsidR="00C53ADC" w:rsidRDefault="00C53ADC" w:rsidP="00C53ADC">
      <w:pPr>
        <w:rPr>
          <w:rFonts w:ascii="MinionPro-Regular" w:hAnsi="MinionPro-Regular" w:cs="MinionPro-Regular"/>
        </w:rPr>
      </w:pPr>
      <w:r>
        <w:rPr>
          <w:rFonts w:ascii="MinionPro-Regular" w:hAnsi="MinionPro-Regular" w:cs="MinionPro-Regular"/>
        </w:rPr>
        <w:t xml:space="preserve">[17] </w:t>
      </w:r>
      <w:proofErr w:type="gramStart"/>
      <w:r>
        <w:rPr>
          <w:rFonts w:ascii="MinionPro-Regular" w:hAnsi="MinionPro-Regular" w:cs="MinionPro-Regular"/>
        </w:rPr>
        <w:t>D.Liberzon</w:t>
      </w:r>
      <w:proofErr w:type="gramEnd"/>
      <w:r>
        <w:rPr>
          <w:rFonts w:ascii="MinionPro-Regular" w:hAnsi="MinionPro-Regular" w:cs="MinionPro-Regular"/>
        </w:rPr>
        <w:t>, Calculus of Variations and Optimal Control Theory: A Concise Introduction, Princeton University Press, 2012</w:t>
      </w:r>
    </w:p>
    <w:p w14:paraId="4F3AF894" w14:textId="77777777" w:rsidR="00C53ADC" w:rsidRDefault="00C53ADC" w:rsidP="00C53ADC">
      <w:pPr>
        <w:rPr>
          <w:rFonts w:ascii="MinionPro-Regular" w:hAnsi="MinionPro-Regular" w:cs="MinionPro-Regular"/>
          <w:lang w:val="it-IT"/>
        </w:rPr>
      </w:pPr>
      <w:r w:rsidRPr="003422A8">
        <w:rPr>
          <w:rFonts w:ascii="MinionPro-Regular" w:hAnsi="MinionPro-Regular" w:cs="MinionPro-Regular"/>
          <w:lang w:val="it-IT"/>
        </w:rPr>
        <w:t>[18] Protezione Civile, git</w:t>
      </w:r>
      <w:r>
        <w:rPr>
          <w:rFonts w:ascii="MinionPro-Regular" w:hAnsi="MinionPro-Regular" w:cs="MinionPro-Regular"/>
          <w:lang w:val="it-IT"/>
        </w:rPr>
        <w:t>hub</w:t>
      </w:r>
      <w:r w:rsidRPr="003422A8">
        <w:rPr>
          <w:rFonts w:ascii="MinionPro-Regular" w:hAnsi="MinionPro-Regular" w:cs="MinionPro-Regular"/>
          <w:lang w:val="it-IT"/>
        </w:rPr>
        <w:t xml:space="preserve"> repository: </w:t>
      </w:r>
      <w:hyperlink r:id="rId22" w:history="1">
        <w:r w:rsidRPr="00D043F6">
          <w:rPr>
            <w:rStyle w:val="Collegamentoipertestuale"/>
            <w:rFonts w:ascii="MinionPro-Regular" w:hAnsi="MinionPro-Regular" w:cs="MinionPro-Regular"/>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61AA5" w14:textId="77777777" w:rsidR="00B15999" w:rsidRDefault="00B15999">
      <w:pPr>
        <w:spacing w:after="0" w:line="240" w:lineRule="auto"/>
      </w:pPr>
      <w:r>
        <w:separator/>
      </w:r>
    </w:p>
  </w:endnote>
  <w:endnote w:type="continuationSeparator" w:id="0">
    <w:p w14:paraId="0F432E8E" w14:textId="77777777" w:rsidR="00B15999" w:rsidRDefault="00B1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4EAA5" w14:textId="77777777" w:rsidR="00B15999" w:rsidRDefault="00B15999">
      <w:pPr>
        <w:rPr>
          <w:sz w:val="12"/>
        </w:rPr>
      </w:pPr>
      <w:r>
        <w:separator/>
      </w:r>
    </w:p>
  </w:footnote>
  <w:footnote w:type="continuationSeparator" w:id="0">
    <w:p w14:paraId="2D611CFE" w14:textId="77777777" w:rsidR="00B15999" w:rsidRDefault="00B15999">
      <w:pPr>
        <w:rPr>
          <w:sz w:val="12"/>
        </w:rPr>
      </w:pPr>
      <w:r>
        <w:continuationSeparator/>
      </w:r>
    </w:p>
  </w:footnote>
  <w:footnote w:id="1">
    <w:p w14:paraId="30A31475" w14:textId="77777777" w:rsidR="00CC05D9" w:rsidRDefault="00CC05D9">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183797"/>
    <w:rsid w:val="002163A5"/>
    <w:rsid w:val="002D576A"/>
    <w:rsid w:val="002E19EC"/>
    <w:rsid w:val="0032108B"/>
    <w:rsid w:val="00352145"/>
    <w:rsid w:val="00366D58"/>
    <w:rsid w:val="003738DC"/>
    <w:rsid w:val="003E61DB"/>
    <w:rsid w:val="003F724C"/>
    <w:rsid w:val="00450FD3"/>
    <w:rsid w:val="004C17A5"/>
    <w:rsid w:val="004C69A0"/>
    <w:rsid w:val="004D3F91"/>
    <w:rsid w:val="00512483"/>
    <w:rsid w:val="00535087"/>
    <w:rsid w:val="005A6758"/>
    <w:rsid w:val="005D17E6"/>
    <w:rsid w:val="00667576"/>
    <w:rsid w:val="006F1D62"/>
    <w:rsid w:val="0077629E"/>
    <w:rsid w:val="00813020"/>
    <w:rsid w:val="00906FF4"/>
    <w:rsid w:val="00931EA9"/>
    <w:rsid w:val="00944944"/>
    <w:rsid w:val="00A01717"/>
    <w:rsid w:val="00A67E66"/>
    <w:rsid w:val="00A75EA2"/>
    <w:rsid w:val="00A82DBA"/>
    <w:rsid w:val="00A92110"/>
    <w:rsid w:val="00AC6F39"/>
    <w:rsid w:val="00B15999"/>
    <w:rsid w:val="00BA2AB7"/>
    <w:rsid w:val="00C2753A"/>
    <w:rsid w:val="00C53ADC"/>
    <w:rsid w:val="00C62F45"/>
    <w:rsid w:val="00CC05D9"/>
    <w:rsid w:val="00CD6A29"/>
    <w:rsid w:val="00D024DA"/>
    <w:rsid w:val="00D25EA9"/>
    <w:rsid w:val="00D34BF2"/>
    <w:rsid w:val="00D74C9D"/>
    <w:rsid w:val="00DB66A4"/>
    <w:rsid w:val="00DE5D81"/>
    <w:rsid w:val="00E52C9B"/>
    <w:rsid w:val="00E724C9"/>
    <w:rsid w:val="00E76EB4"/>
    <w:rsid w:val="00E85A3A"/>
    <w:rsid w:val="00EB2AF4"/>
    <w:rsid w:val="00EB5517"/>
    <w:rsid w:val="00EC4A40"/>
    <w:rsid w:val="00F723AE"/>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33</Pages>
  <Words>8800</Words>
  <Characters>50164</Characters>
  <Application>Microsoft Office Word</Application>
  <DocSecurity>0</DocSecurity>
  <Lines>418</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simone rotondi</cp:lastModifiedBy>
  <cp:revision>110</cp:revision>
  <dcterms:created xsi:type="dcterms:W3CDTF">2020-11-29T11:07:00Z</dcterms:created>
  <dcterms:modified xsi:type="dcterms:W3CDTF">2021-03-28T16:47:00Z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