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Тема: Диссеминированный туберкулез.</w:t>
      </w:r>
    </w:p>
    <w:p>
      <w:pPr>
        <w:pStyle w:val="Normal"/>
        <w:rPr>
          <w:lang w:val="ru-RU"/>
        </w:rPr>
      </w:pPr>
      <w:r>
        <w:rPr>
          <w:lang w:val="ru-RU"/>
        </w:rPr>
        <w:t>Вопрос №2: Характерные черты лимфогенной диссеминации.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Ответ: преимущественно очаговые тени в среднем и нижнем отделах легкого, </w:t>
      </w:r>
      <w:r>
        <w:rPr>
          <w:lang w:val="ru-RU"/>
        </w:rPr>
        <w:t>очаговые тени распологаются группами среди полосковидных и сетчатых теней лимфангита, при томографическом исследовании в корне легкого и средостении значительно увеличенные, уплотненные, частично кальцинированные лимфатические узлы.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LibreOffice/5.3.4.2$Windows_x86 LibreOffice_project/f82d347ccc0be322489bf7da61d7e4ad13fe2ff3</Application>
  <Pages>1</Pages>
  <Words>44</Words>
  <Characters>352</Characters>
  <CharactersWithSpaces>393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2018-02-15T11:46:03Z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