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ПЕРВИЧНЫЙ ТУБЕРКУЛЕЗ У ВЗРОСЛЫХ. ВОПРОС №2.</w:t>
      </w:r>
    </w:p>
    <w:p>
      <w:pPr>
        <w:pStyle w:val="Normal"/>
        <w:rPr>
          <w:lang w:val="ru-RU"/>
        </w:rPr>
      </w:pPr>
      <w:r>
        <w:rPr>
          <w:lang w:val="ru-RU"/>
        </w:rPr>
        <w:t>Первичное попадание возбудителя туберкулеза в ранее неинфицированный организм вызывает острую неспецифическую воспалительную реакциюю При локальном первичном инфицировании в течении первой недели 50% макрофагов содержит микобактерию туберкулеза, при повторном инфицировании (при наличии иммунитета) большинство бактерий быстро разрушается, микобактерию туберкулеза содержит только 3% макрофагов. Этим и обсуловлено наличие таких признаков первичной туберкулезной инфекции как облигатная бактереимия, наличие параспецифических реакций и лимфотропное поражение тканей.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LibreOffice/5.3.4.2$Windows_x86 LibreOffice_project/f82d347ccc0be322489bf7da61d7e4ad13fe2ff3</Application>
  <Pages>1</Pages>
  <Words>67</Words>
  <Characters>543</Characters>
  <CharactersWithSpaces>608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2018-02-14T12:23:33Z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