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A6" w:rsidRDefault="006500B0">
      <w:pPr>
        <w:rPr>
          <w:sz w:val="32"/>
          <w:szCs w:val="32"/>
        </w:rPr>
      </w:pPr>
      <w:r>
        <w:rPr>
          <w:sz w:val="32"/>
          <w:szCs w:val="32"/>
        </w:rPr>
        <w:t>К современным методам лучевой диагностики туберкулеза костей и суставов относятся:</w:t>
      </w:r>
    </w:p>
    <w:p w:rsidR="006500B0" w:rsidRDefault="006500B0">
      <w:pPr>
        <w:rPr>
          <w:sz w:val="32"/>
          <w:szCs w:val="32"/>
        </w:rPr>
      </w:pPr>
      <w:r>
        <w:rPr>
          <w:sz w:val="32"/>
          <w:szCs w:val="32"/>
        </w:rPr>
        <w:t>Компьютерная томография: наиболее информативна при оценке костной патологии.</w:t>
      </w:r>
    </w:p>
    <w:p w:rsidR="006500B0" w:rsidRPr="00F0052E" w:rsidRDefault="006500B0">
      <w:pPr>
        <w:rPr>
          <w:sz w:val="32"/>
          <w:szCs w:val="32"/>
        </w:rPr>
      </w:pPr>
      <w:r>
        <w:rPr>
          <w:sz w:val="32"/>
          <w:szCs w:val="32"/>
        </w:rPr>
        <w:t>Магнитно-резонансная томография: с помощью этого метода лучше видны деструктивные процессы в менее плотных и мягкотканых структурах.</w:t>
      </w:r>
    </w:p>
    <w:p w:rsidR="00CE7878" w:rsidRDefault="00CE7878"/>
    <w:sectPr w:rsidR="00CE7878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20D14"/>
    <w:rsid w:val="00120D14"/>
    <w:rsid w:val="001506B9"/>
    <w:rsid w:val="001F6149"/>
    <w:rsid w:val="002E63F4"/>
    <w:rsid w:val="00581BE0"/>
    <w:rsid w:val="006500B0"/>
    <w:rsid w:val="00B47719"/>
    <w:rsid w:val="00C12246"/>
    <w:rsid w:val="00CE7878"/>
    <w:rsid w:val="00D25C73"/>
    <w:rsid w:val="00E9587D"/>
    <w:rsid w:val="00F0052E"/>
    <w:rsid w:val="00F5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2016-05-25T17:07:00Z</dcterms:created>
  <dcterms:modified xsi:type="dcterms:W3CDTF">2016-05-28T16:58:00Z</dcterms:modified>
</cp:coreProperties>
</file>