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Мочеполовой туберкулез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Современное понятие о патогенезе и патоморфоз туберкулеза мочеполовой системы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>
          <w:lang w:val="ru-RU"/>
        </w:rPr>
        <w:t>Нефротуберкулез — гематогенная инфекция, которая поражает обе почки одновременно. Туберкулез почек является вторичным по отношению к существующим в организме очагам туберкулезного процесса, обычно расположенным в легких. Микобактерии распространяются через кровоток и оседают в сосудах, окружающих клубочки. Этому способствует: обширное микроциркуляторное русло, замедленный кровоток в почечных клубочках, тесный контакт сосудов с интерстициальной тканью. Образуются микроскопические очажки, исходом которых могут быть: полное обратное развитие, частичный регресс с рубцеванием, прогрессирование процесса с образованием казеозно-некротических масс с полной или неполной инкапсуляцией и персистированием микобактерий туберкулеза.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LibreOffice/5.3.4.2$Windows_x86 LibreOffice_project/f82d347ccc0be322489bf7da61d7e4ad13fe2ff3</Application>
  <Pages>1</Pages>
  <Words>95</Words>
  <Characters>759</Characters>
  <CharactersWithSpaces>853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2018-03-16T12:30:56Z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