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8B6" w:rsidRPr="00F95023" w:rsidRDefault="00F95023">
      <w:pPr>
        <w:rPr>
          <w:b/>
          <w:sz w:val="32"/>
          <w:szCs w:val="32"/>
        </w:rPr>
      </w:pPr>
      <w:r w:rsidRPr="00F95023">
        <w:rPr>
          <w:b/>
          <w:sz w:val="32"/>
          <w:szCs w:val="32"/>
        </w:rPr>
        <w:t>Для клинической картины туберкулеза кожи характерны следующие особенности:</w:t>
      </w:r>
    </w:p>
    <w:p w:rsidR="00F95023" w:rsidRDefault="00F95023">
      <w:pPr>
        <w:rPr>
          <w:sz w:val="32"/>
          <w:szCs w:val="32"/>
        </w:rPr>
      </w:pPr>
      <w:r>
        <w:rPr>
          <w:sz w:val="32"/>
          <w:szCs w:val="32"/>
        </w:rPr>
        <w:t>- Многообразие и размытость форм.</w:t>
      </w:r>
    </w:p>
    <w:p w:rsidR="00F95023" w:rsidRDefault="00F95023">
      <w:pPr>
        <w:rPr>
          <w:sz w:val="32"/>
          <w:szCs w:val="32"/>
        </w:rPr>
      </w:pPr>
      <w:r>
        <w:rPr>
          <w:sz w:val="32"/>
          <w:szCs w:val="32"/>
        </w:rPr>
        <w:t>- Длительность течения, срок постановки диагноза составляет в среднем 5 лет.</w:t>
      </w:r>
    </w:p>
    <w:p w:rsidR="00F95023" w:rsidRDefault="00F95023">
      <w:pPr>
        <w:rPr>
          <w:sz w:val="32"/>
          <w:szCs w:val="32"/>
        </w:rPr>
      </w:pPr>
      <w:r>
        <w:rPr>
          <w:sz w:val="32"/>
          <w:szCs w:val="32"/>
        </w:rPr>
        <w:t>- Чаще болеют женщины 20-40 лет.</w:t>
      </w:r>
    </w:p>
    <w:p w:rsidR="00F95023" w:rsidRDefault="00F95023">
      <w:pPr>
        <w:rPr>
          <w:sz w:val="32"/>
          <w:szCs w:val="32"/>
        </w:rPr>
      </w:pPr>
      <w:r>
        <w:rPr>
          <w:sz w:val="32"/>
          <w:szCs w:val="32"/>
        </w:rPr>
        <w:t>- Течение туберкулеза кожи – процесс хронический с периодами обострения.</w:t>
      </w:r>
    </w:p>
    <w:p w:rsidR="00F95023" w:rsidRDefault="00F95023">
      <w:pPr>
        <w:rPr>
          <w:sz w:val="32"/>
          <w:szCs w:val="32"/>
        </w:rPr>
      </w:pPr>
      <w:r>
        <w:rPr>
          <w:sz w:val="32"/>
          <w:szCs w:val="32"/>
        </w:rPr>
        <w:t>- Это самая медленно развивающаяся инфекция кожи, особенно локализованные формы, которые развиваются годами.</w:t>
      </w:r>
    </w:p>
    <w:p w:rsidR="00F95023" w:rsidRDefault="00F95023">
      <w:pPr>
        <w:rPr>
          <w:sz w:val="32"/>
          <w:szCs w:val="32"/>
        </w:rPr>
      </w:pPr>
      <w:r>
        <w:rPr>
          <w:sz w:val="32"/>
          <w:szCs w:val="32"/>
        </w:rPr>
        <w:t>- Характерно отсутствие субъективных жалоб пациентов.</w:t>
      </w:r>
    </w:p>
    <w:p w:rsidR="002258B6" w:rsidRPr="00F0052E" w:rsidRDefault="002258B6">
      <w:pPr>
        <w:rPr>
          <w:sz w:val="32"/>
          <w:szCs w:val="32"/>
        </w:rPr>
      </w:pPr>
    </w:p>
    <w:p w:rsidR="00CE7878" w:rsidRDefault="00CE7878"/>
    <w:sectPr w:rsidR="00CE7878" w:rsidSect="00581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20D14"/>
    <w:rsid w:val="00120D14"/>
    <w:rsid w:val="001506B9"/>
    <w:rsid w:val="001F550F"/>
    <w:rsid w:val="001F6149"/>
    <w:rsid w:val="00202029"/>
    <w:rsid w:val="002258B6"/>
    <w:rsid w:val="002E63F4"/>
    <w:rsid w:val="00581BE0"/>
    <w:rsid w:val="006500B0"/>
    <w:rsid w:val="007E4962"/>
    <w:rsid w:val="009944D2"/>
    <w:rsid w:val="00A64B3C"/>
    <w:rsid w:val="00B47719"/>
    <w:rsid w:val="00B522D6"/>
    <w:rsid w:val="00BC6D93"/>
    <w:rsid w:val="00C12246"/>
    <w:rsid w:val="00CE7878"/>
    <w:rsid w:val="00CF2F98"/>
    <w:rsid w:val="00D25C73"/>
    <w:rsid w:val="00E9587D"/>
    <w:rsid w:val="00F0052E"/>
    <w:rsid w:val="00F43128"/>
    <w:rsid w:val="00F57BA6"/>
    <w:rsid w:val="00F9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2016-05-25T17:07:00Z</dcterms:created>
  <dcterms:modified xsi:type="dcterms:W3CDTF">2016-05-31T17:49:00Z</dcterms:modified>
</cp:coreProperties>
</file>