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Туберкулез глаз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Чем характеризуется патоморфологическая картина туберкулезного поражения глаз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>Патоморфологическая картина увеита характеризуется развитием туберкулезной гранулемы, представляющей собой компактное скопление эпителиоидных клеток и макрофагов, в которой находятся немногочисленные нейтрофильные и эозинофильные гранулоциты, лимфоциты и плазматические клетки.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39</Words>
  <Characters>351</Characters>
  <CharactersWithSpaces>388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2018-03-16T11:37:59Z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