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C45" w:rsidRPr="005C1C45" w:rsidRDefault="005C1C45" w:rsidP="005C1C45">
      <w:pPr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В</w:t>
      </w:r>
      <w:r w:rsidRPr="005C1C45">
        <w:rPr>
          <w:rFonts w:ascii="Times New Roman" w:hAnsi="Times New Roman" w:cs="Times New Roman"/>
          <w:color w:val="333333"/>
          <w:sz w:val="28"/>
          <w:szCs w:val="28"/>
        </w:rPr>
        <w:t>опрос№1</w:t>
      </w:r>
    </w:p>
    <w:p w:rsidR="009A0B59" w:rsidRDefault="005C1C45" w:rsidP="005C1C45">
      <w:pPr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5C1C45">
        <w:rPr>
          <w:rFonts w:ascii="Times New Roman" w:hAnsi="Times New Roman" w:cs="Times New Roman"/>
          <w:color w:val="333333"/>
          <w:sz w:val="28"/>
          <w:szCs w:val="28"/>
        </w:rPr>
        <w:t>Синдром округлой тени. Определение</w:t>
      </w:r>
    </w:p>
    <w:p w:rsidR="005C1C45" w:rsidRDefault="005C1C45" w:rsidP="005C1C45">
      <w:pPr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Ответ:</w:t>
      </w:r>
      <w:bookmarkStart w:id="0" w:name="_GoBack"/>
      <w:bookmarkEnd w:id="0"/>
    </w:p>
    <w:p w:rsidR="005C1C45" w:rsidRDefault="005C1C45" w:rsidP="005C1C45">
      <w:pPr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 xml:space="preserve">К синдрому округлой тени относятся патологические процессы различной анатомической природы, Одиночные или множественные тени размером более одного сантиметра округлой,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</w:rPr>
        <w:t>полуокруглой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</w:rPr>
        <w:t xml:space="preserve"> или овальной формы в двух взаимно перпендикулярной проекциях на рентгенограммах.</w:t>
      </w:r>
    </w:p>
    <w:p w:rsidR="005C1C45" w:rsidRPr="005C1C45" w:rsidRDefault="005C1C45" w:rsidP="005C1C45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C1C45" w:rsidRPr="005C1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83"/>
    <w:rsid w:val="00027B83"/>
    <w:rsid w:val="005C1C45"/>
    <w:rsid w:val="009A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CC567-B6D7-4762-BA96-C962C518A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2016-06-29T23:18:00Z</dcterms:created>
  <dcterms:modified xsi:type="dcterms:W3CDTF">2016-06-29T23:18:00Z</dcterms:modified>
</cp:coreProperties>
</file>