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5C" w:rsidRDefault="00C91623">
      <w:r>
        <w:t xml:space="preserve">Изменения окружающей  каверну ткани незначительные, если каверна сформировалась на месте </w:t>
      </w:r>
      <w:proofErr w:type="spellStart"/>
      <w:r>
        <w:t>туберулемы</w:t>
      </w:r>
      <w:proofErr w:type="spellEnd"/>
      <w:r>
        <w:t xml:space="preserve"> и очагового туберкулеза. И </w:t>
      </w:r>
      <w:proofErr w:type="gramStart"/>
      <w:r>
        <w:t>склероз</w:t>
      </w:r>
      <w:proofErr w:type="gramEnd"/>
      <w:r>
        <w:t xml:space="preserve"> и очаги чаще выявляются вокруг каверны, развившейся  из инфильтративного и диссеминированного туберкулёза</w:t>
      </w:r>
    </w:p>
    <w:sectPr w:rsidR="00214D5C" w:rsidSect="00C91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91623"/>
    <w:rsid w:val="00214D5C"/>
    <w:rsid w:val="00C9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2016-06-20T06:02:00Z</dcterms:created>
  <dcterms:modified xsi:type="dcterms:W3CDTF">2016-06-20T06:05:00Z</dcterms:modified>
</cp:coreProperties>
</file>