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028" w:rsidRDefault="00AA6028" w:rsidP="00AA6028">
      <w:pPr>
        <w:pStyle w:val="a3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БЦЖ – это вакцина против туберкулеза, приготовленная из штамма ослабленной живой коровьей туберкулезной палочки, которая утратила вирулентность для человека, будучи специально выращенной в искусственной среде.</w:t>
      </w:r>
    </w:p>
    <w:p w:rsidR="00AA6028" w:rsidRDefault="00AA6028" w:rsidP="00AA6028">
      <w:pPr>
        <w:pStyle w:val="a3"/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БЦЖ-м</w:t>
      </w:r>
      <w:proofErr w:type="spellEnd"/>
      <w:r>
        <w:rPr>
          <w:sz w:val="24"/>
          <w:szCs w:val="24"/>
        </w:rPr>
        <w:t xml:space="preserve"> – вакцина туберкулезная для активной специфической профилактики туберкулеза (для щадящей первичной иммунизации).</w:t>
      </w:r>
    </w:p>
    <w:p w:rsidR="00AA6028" w:rsidRPr="00336BA6" w:rsidRDefault="00AA6028" w:rsidP="00AA6028">
      <w:pPr>
        <w:pStyle w:val="a3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Вакцинация БЦЖ не снижает риск заражения микобактериями туберкулеза, но предупреждает развитие наиболее опасных клинических форм туберкулеза (милиарный туберкулез, туберкулезный менингит), связанных с гематогенным распространением болезней.</w:t>
      </w:r>
    </w:p>
    <w:p w:rsidR="00707A51" w:rsidRDefault="00707A51"/>
    <w:sectPr w:rsidR="00707A51" w:rsidSect="003D5D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F0625"/>
    <w:multiLevelType w:val="hybridMultilevel"/>
    <w:tmpl w:val="E2E89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766C6"/>
    <w:rsid w:val="004766C6"/>
    <w:rsid w:val="00707A51"/>
    <w:rsid w:val="007F54C2"/>
    <w:rsid w:val="00AA6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A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6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486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ZaborskayaIV</dc:creator>
  <cp:lastModifiedBy>ZaborskayaIV</cp:lastModifiedBy>
  <cp:revision>2</cp:revision>
  <dcterms:created xsi:type="dcterms:W3CDTF">2016-06-10T08:15:00Z</dcterms:created>
  <dcterms:modified xsi:type="dcterms:W3CDTF">2016-06-10T08:17:00Z</dcterms:modified>
</cp:coreProperties>
</file>