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79" w:rsidRDefault="00660504">
      <w:pPr>
        <w:pStyle w:val="Background"/>
        <w:spacing w:line="276" w:lineRule="auto"/>
        <w:jc w:val="center"/>
      </w:pPr>
      <w:r>
        <w:rPr>
          <w:rFonts w:ascii="Times New Roman" w:hAnsi="Times New Roman" w:cs="Times New Roman"/>
          <w:b/>
        </w:rPr>
        <w:t>Нижняя граница для среднего времени идентификации статичной группы RFID меток</w:t>
      </w:r>
    </w:p>
    <w:p w:rsidR="00380879" w:rsidRDefault="00380879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380879" w:rsidRDefault="00660504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Семёнова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Т.Д., магистр кафедры безопасности информационных систем</w:t>
      </w:r>
    </w:p>
    <w:p w:rsidR="00380879" w:rsidRDefault="00660504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ГУАП, 1tata922@mail.ru</w:t>
      </w:r>
    </w:p>
    <w:p w:rsidR="00380879" w:rsidRDefault="00380879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80879" w:rsidRDefault="00660504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Тюрликова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А.А., магистр кафедры безопасности информационных систем</w:t>
      </w:r>
    </w:p>
    <w:p w:rsidR="00380879" w:rsidRDefault="00660504">
      <w:pPr>
        <w:pStyle w:val="Default"/>
        <w:spacing w:line="276" w:lineRule="auto"/>
        <w:jc w:val="center"/>
      </w:pPr>
      <w:r>
        <w:rPr>
          <w:rFonts w:ascii="Times New Roman" w:hAnsi="Times New Roman" w:cs="Times New Roman"/>
          <w:sz w:val="20"/>
          <w:szCs w:val="20"/>
        </w:rPr>
        <w:t xml:space="preserve">ГУАП, </w:t>
      </w:r>
      <w:hyperlink r:id="rId8" w:history="1">
        <w:r>
          <w:rPr>
            <w:rStyle w:val="ab"/>
            <w:rFonts w:ascii="Times New Roman" w:hAnsi="Times New Roman" w:cs="Times New Roman"/>
            <w:sz w:val="20"/>
            <w:szCs w:val="20"/>
            <w:lang w:val="en-US"/>
          </w:rPr>
          <w:t>tyrlikova</w:t>
        </w:r>
        <w:r w:rsidRPr="009C71D6">
          <w:rPr>
            <w:rStyle w:val="ab"/>
            <w:rFonts w:ascii="Times New Roman" w:hAnsi="Times New Roman" w:cs="Times New Roman"/>
            <w:sz w:val="20"/>
            <w:szCs w:val="20"/>
          </w:rPr>
          <w:t>@</w:t>
        </w:r>
        <w:r>
          <w:rPr>
            <w:rStyle w:val="ab"/>
            <w:rFonts w:ascii="Times New Roman" w:hAnsi="Times New Roman" w:cs="Times New Roman"/>
            <w:sz w:val="20"/>
            <w:szCs w:val="20"/>
            <w:lang w:val="en-US"/>
          </w:rPr>
          <w:t>mail</w:t>
        </w:r>
      </w:hyperlink>
      <w:hyperlink r:id="rId9" w:history="1">
        <w:r>
          <w:rPr>
            <w:rStyle w:val="ab"/>
            <w:rFonts w:ascii="Times New Roman" w:hAnsi="Times New Roman" w:cs="Times New Roman"/>
            <w:sz w:val="20"/>
            <w:szCs w:val="20"/>
          </w:rPr>
          <w:t>.</w:t>
        </w:r>
        <w:proofErr w:type="spellStart"/>
        <w:r>
          <w:rPr>
            <w:rStyle w:val="ab"/>
            <w:rFonts w:ascii="Times New Roman" w:hAnsi="Times New Roman" w:cs="Times New Roman"/>
            <w:sz w:val="20"/>
            <w:szCs w:val="20"/>
          </w:rPr>
          <w:t>ru</w:t>
        </w:r>
        <w:proofErr w:type="spellEnd"/>
      </w:hyperlink>
    </w:p>
    <w:p w:rsidR="00380879" w:rsidRDefault="00380879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380879" w:rsidRDefault="00660504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Аннотация</w:t>
      </w:r>
    </w:p>
    <w:p w:rsidR="00380879" w:rsidRDefault="00660504">
      <w:pPr>
        <w:pStyle w:val="Default"/>
        <w:spacing w:line="276" w:lineRule="auto"/>
        <w:ind w:left="567" w:right="397" w:firstLine="737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В данной статье рассматривается стандарт EPC </w:t>
      </w:r>
      <w:proofErr w:type="spellStart"/>
      <w:r>
        <w:rPr>
          <w:rFonts w:ascii="Times New Roman" w:hAnsi="Times New Roman" w:cs="Times New Roman"/>
          <w:sz w:val="20"/>
          <w:szCs w:val="20"/>
        </w:rPr>
        <w:t>Global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 2 </w:t>
      </w:r>
      <w:r w:rsidRPr="009C71D6">
        <w:rPr>
          <w:rFonts w:ascii="Times New Roman" w:hAnsi="Times New Roman" w:cs="Times New Roman"/>
          <w:sz w:val="20"/>
          <w:szCs w:val="20"/>
        </w:rPr>
        <w:t xml:space="preserve">для работы пассивных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FID</w:t>
      </w:r>
      <w:r w:rsidRPr="009C71D6">
        <w:rPr>
          <w:rFonts w:ascii="Times New Roman" w:hAnsi="Times New Roman" w:cs="Times New Roman"/>
          <w:sz w:val="20"/>
          <w:szCs w:val="20"/>
        </w:rPr>
        <w:t xml:space="preserve"> систем диапазона </w:t>
      </w:r>
      <w:r>
        <w:rPr>
          <w:rFonts w:ascii="Times New Roman" w:hAnsi="Times New Roman" w:cs="Times New Roman"/>
          <w:sz w:val="20"/>
          <w:szCs w:val="20"/>
          <w:lang w:val="en-US"/>
        </w:rPr>
        <w:t>UHF</w:t>
      </w:r>
      <w:r w:rsidRPr="009C71D6">
        <w:rPr>
          <w:rFonts w:ascii="Times New Roman" w:hAnsi="Times New Roman" w:cs="Times New Roman"/>
          <w:sz w:val="20"/>
          <w:szCs w:val="20"/>
        </w:rPr>
        <w:t xml:space="preserve"> 860~960 Мгц</w:t>
      </w:r>
    </w:p>
    <w:p w:rsidR="00380879" w:rsidRDefault="00660504">
      <w:pPr>
        <w:pStyle w:val="Default"/>
        <w:spacing w:line="276" w:lineRule="auto"/>
        <w:ind w:left="567" w:right="397" w:firstLine="737"/>
        <w:jc w:val="both"/>
      </w:pPr>
      <w:r>
        <w:rPr>
          <w:rFonts w:ascii="Times New Roman" w:hAnsi="Times New Roman" w:cs="Times New Roman"/>
          <w:sz w:val="20"/>
          <w:szCs w:val="20"/>
        </w:rPr>
        <w:t>Стандарт не регламентирует порядок выдачи команд считывателем, а только накладывает некоторые ограничения на этот порядок. В рамках этих ограничений могут быть организованы различные протоколы работы считывателя (при эт</w:t>
      </w:r>
      <w:r>
        <w:rPr>
          <w:rFonts w:ascii="Times New Roman" w:hAnsi="Times New Roman" w:cs="Times New Roman"/>
          <w:sz w:val="20"/>
          <w:szCs w:val="20"/>
        </w:rPr>
        <w:t xml:space="preserve">ом метки остаются неизменными). Стандарт описывает определенный протокол идентификации – </w:t>
      </w:r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 протокол. В статье строится нижняя граница для среднего времени идентификации для сценария статичной группы объектов. В статье показано, что данный протокол эффектив</w:t>
      </w:r>
      <w:r>
        <w:rPr>
          <w:rFonts w:ascii="Times New Roman" w:hAnsi="Times New Roman" w:cs="Times New Roman"/>
          <w:sz w:val="20"/>
          <w:szCs w:val="20"/>
        </w:rPr>
        <w:t>но решает задачу идентификации статичной группы объектов, поэтому не требуется разработка других протоколов.</w:t>
      </w:r>
    </w:p>
    <w:p w:rsidR="00380879" w:rsidRDefault="00380879">
      <w:pPr>
        <w:pStyle w:val="Default"/>
        <w:spacing w:line="276" w:lineRule="auto"/>
        <w:ind w:firstLine="737"/>
        <w:jc w:val="both"/>
        <w:rPr>
          <w:rFonts w:ascii="Times New Roman" w:hAnsi="Times New Roman" w:cs="Times New Roman"/>
          <w:sz w:val="20"/>
          <w:szCs w:val="20"/>
        </w:rPr>
      </w:pPr>
    </w:p>
    <w:p w:rsidR="00380879" w:rsidRDefault="00660504">
      <w:pPr>
        <w:pStyle w:val="Default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Введение</w:t>
      </w:r>
    </w:p>
    <w:p w:rsidR="00380879" w:rsidRDefault="00660504">
      <w:pPr>
        <w:pStyle w:val="Standard"/>
        <w:spacing w:line="276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 последнее время на рынке технологий автоматической идентификации возрос интерес к пассивным RFID системам, работающим с помощью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стандарта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EPCglobal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 2[1]. Данный стандарт для процедуры идентификации использует Q протокол. В связи с этим появились научные работы, в которых предлагается улучшение протокола идентификации: «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Adaptive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Aloha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anti-collision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algorithms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RFID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systems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»[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2], «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Extensive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Study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Slotted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Aloha-Based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RFID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Anti-Collision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Protocols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»[3] и другие. До сих пор остается открытым вопрос: действительно ли стоит улучшать протокол, по которому работает стандарт. Для ответа на данный вопрос необходимо провести анализ,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построив нижнюю границу среднего времени идентификации меток.</w:t>
      </w:r>
    </w:p>
    <w:p w:rsidR="00380879" w:rsidRDefault="00660504">
      <w:pPr>
        <w:pStyle w:val="Default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Описание </w:t>
      </w:r>
      <w:proofErr w:type="gramStart"/>
      <w:r>
        <w:rPr>
          <w:rFonts w:ascii="Times New Roman" w:hAnsi="Times New Roman" w:cs="Times New Roman"/>
          <w:b/>
          <w:bCs/>
          <w:sz w:val="24"/>
        </w:rPr>
        <w:t xml:space="preserve">стандарта 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EPCglobal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 GEN 2</w:t>
      </w:r>
    </w:p>
    <w:p w:rsidR="00380879" w:rsidRDefault="00660504">
      <w:pPr>
        <w:pStyle w:val="Standard"/>
        <w:spacing w:line="276" w:lineRule="auto"/>
        <w:ind w:firstLine="6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Система радиочастотной идентификации состоит из считывателя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и  множества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меток. Основной задачей считывателя является задача идентификации метки. После этого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шага считыватель может общаться уже с выбранной конкретной меткой (задачи чтения и записи информации). Процесс идентификации делится на сеансы. Сеансы делятся на окна (слоты).</w:t>
      </w:r>
    </w:p>
    <w:p w:rsidR="00380879" w:rsidRDefault="00660504">
      <w:pPr>
        <w:pStyle w:val="Default"/>
        <w:spacing w:line="276" w:lineRule="auto"/>
        <w:ind w:firstLine="73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Стандарт не регламентирует порядок выдачи команд считывателем, а только наклады</w:t>
      </w:r>
      <w:r>
        <w:rPr>
          <w:rFonts w:ascii="Times New Roman" w:hAnsi="Times New Roman" w:cs="Times New Roman"/>
          <w:sz w:val="20"/>
          <w:szCs w:val="20"/>
        </w:rPr>
        <w:t>вает некоторые ограничения на этот порядок. В рамках этих ограничений могут быть организованы различные протоколы работы считывателя (при этом метки остаются неизменными).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Рассмотрим сценарий, когда изначально в области идентификации находится большое числ</w:t>
      </w:r>
      <w:r>
        <w:rPr>
          <w:rFonts w:ascii="Times New Roman" w:hAnsi="Times New Roman" w:cs="Times New Roman"/>
          <w:color w:val="000000"/>
          <w:sz w:val="20"/>
          <w:szCs w:val="20"/>
        </w:rPr>
        <w:t>о меток, новые метки в систему не поступают, идентифицированные метки больше не участвуют в процессе идентификации.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Рассмотрим упрощенную схему взаимодействия считывателя с метками, рисунок 1. Считаем, что задача считывателя простая — выяснить, какие именн</w:t>
      </w:r>
      <w:r>
        <w:rPr>
          <w:rFonts w:ascii="Times New Roman" w:hAnsi="Times New Roman" w:cs="Times New Roman"/>
          <w:color w:val="000000"/>
          <w:sz w:val="20"/>
          <w:szCs w:val="20"/>
        </w:rPr>
        <w:t>о метки находятся в его зоне идентификации. На начало сеанса считыватель отправляет команду — начать новый сеанс длины 2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. Каждая метка, которая приняла команду, генерирует и запоминает случайное число в диапазоне от 1 до 2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. Пусть в примере 3 метки, длина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сеанса 4 окна. Та метка, которая сгенерировала число 1, передает свой уникальный номер</w:t>
      </w:r>
      <w:r w:rsidRPr="009C71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(ID) считывателю в первом окне. В упрощенной схеме считаем, если свой ID передала одна метка, то считыватель успешно принимает этот идентификатор. В ответ на успешно пр</w:t>
      </w:r>
      <w:r>
        <w:rPr>
          <w:rFonts w:ascii="Times New Roman" w:hAnsi="Times New Roman" w:cs="Times New Roman"/>
          <w:color w:val="000000"/>
          <w:sz w:val="20"/>
          <w:szCs w:val="20"/>
        </w:rPr>
        <w:t>инятый идентификатор считыватель отправляет квитанцию и повторный запрос внутри сеанса. В следующем окне ответят метки, которые сгенерировали случайное число 2. Если в течении времени Т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никто не ответил на запрос, то считыватель посылает команду повторить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запрос внутри сеанса. В следующем окне ответят две метки, которые сгенерировали 3. Если на запрос отвечают две и более меток, то сигнал не будет успешно принят ни от одной метки.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476887</wp:posOffset>
            </wp:positionH>
            <wp:positionV relativeFrom="paragraph">
              <wp:posOffset>1091565</wp:posOffset>
            </wp:positionV>
            <wp:extent cx="3143250" cy="2008507"/>
            <wp:effectExtent l="0" t="0" r="0" b="0"/>
            <wp:wrapTopAndBottom/>
            <wp:docPr id="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85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>Поэтому в ходе работы считывателя с метками можно выделить три разных ситуа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ции, которые имеют разную длительность: </w:t>
      </w:r>
      <w:r>
        <w:rPr>
          <w:rFonts w:ascii="Times New Roman" w:hAnsi="Times New Roman" w:cs="Times New Roman"/>
          <w:sz w:val="20"/>
          <w:szCs w:val="20"/>
        </w:rPr>
        <w:t xml:space="preserve">«УСПЕХ» - в один момент времени только одна метка отвечает на запрос считывателя. </w:t>
      </w:r>
      <w:proofErr w:type="gramStart"/>
      <w:r>
        <w:rPr>
          <w:rFonts w:ascii="Times New Roman" w:hAnsi="Times New Roman" w:cs="Times New Roman"/>
          <w:sz w:val="20"/>
          <w:szCs w:val="20"/>
        </w:rPr>
        <w:t>Метка  успешно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идентифицируется считывателем; «КОНФЛИКТ» - две и более метки отвечают на запрос считывателя; </w:t>
      </w:r>
      <w:r>
        <w:rPr>
          <w:rFonts w:ascii="Times New Roman" w:hAnsi="Times New Roman" w:cs="Times New Roman"/>
          <w:color w:val="000000"/>
          <w:sz w:val="20"/>
          <w:szCs w:val="20"/>
        </w:rPr>
        <w:t>«ПУСТО» - если ни одна из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меток не отвечает на запрос считывателя.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Рисунок 1. Схема взаимодействия считывателя и меток.</w:t>
      </w:r>
    </w:p>
    <w:p w:rsidR="00380879" w:rsidRDefault="00660504">
      <w:pPr>
        <w:pStyle w:val="Default"/>
        <w:spacing w:line="276" w:lineRule="auto"/>
        <w:ind w:firstLine="737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Стандарт определяет длительности этих временных интервалов. Рисунок 2 показывает, как формируется время в окнах разных ситуаций. Подробное описание формирования </w:t>
      </w:r>
      <w:r>
        <w:rPr>
          <w:rFonts w:ascii="Times New Roman" w:hAnsi="Times New Roman" w:cs="Times New Roman"/>
          <w:sz w:val="20"/>
          <w:szCs w:val="20"/>
        </w:rPr>
        <w:t>временных интервалов описывается в статье «</w:t>
      </w:r>
      <w:proofErr w:type="spellStart"/>
      <w:r>
        <w:rPr>
          <w:rFonts w:ascii="Times New Roman" w:hAnsi="Times New Roman" w:cs="Times New Roman"/>
          <w:sz w:val="20"/>
          <w:szCs w:val="20"/>
        </w:rPr>
        <w:t>Adaptive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Aloha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anti-collision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RFID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>
        <w:rPr>
          <w:rFonts w:ascii="Times New Roman" w:hAnsi="Times New Roman" w:cs="Times New Roman"/>
          <w:sz w:val="20"/>
          <w:szCs w:val="20"/>
        </w:rPr>
        <w:t>.»</w:t>
      </w:r>
    </w:p>
    <w:p w:rsidR="00380879" w:rsidRDefault="00660504">
      <w:pPr>
        <w:pStyle w:val="Default"/>
        <w:spacing w:line="276" w:lineRule="auto"/>
        <w:ind w:firstLine="73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 в работе будем брать временные параметры из статьи «</w:t>
      </w:r>
      <w:proofErr w:type="spellStart"/>
      <w:r>
        <w:rPr>
          <w:rFonts w:ascii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Extensive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Slotted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Aloha-Based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RFID </w:t>
      </w:r>
      <w:proofErr w:type="spellStart"/>
      <w:r>
        <w:rPr>
          <w:rFonts w:ascii="Times New Roman" w:hAnsi="Times New Roman" w:cs="Times New Roman"/>
          <w:sz w:val="20"/>
          <w:szCs w:val="20"/>
        </w:rPr>
        <w:t>Anti-Collision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>
        <w:rPr>
          <w:rFonts w:ascii="Times New Roman" w:hAnsi="Times New Roman" w:cs="Times New Roman"/>
          <w:sz w:val="20"/>
          <w:szCs w:val="20"/>
        </w:rPr>
        <w:t>»[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3]: длительность окна </w:t>
      </w:r>
      <w:r>
        <w:rPr>
          <w:rFonts w:ascii="Times New Roman" w:hAnsi="Times New Roman" w:cs="Times New Roman"/>
          <w:sz w:val="20"/>
          <w:szCs w:val="20"/>
        </w:rPr>
        <w:t xml:space="preserve">успех 8,0 </w:t>
      </w:r>
      <w:proofErr w:type="spellStart"/>
      <w:r>
        <w:rPr>
          <w:rFonts w:ascii="Times New Roman" w:hAnsi="Times New Roman" w:cs="Times New Roman"/>
          <w:sz w:val="20"/>
          <w:szCs w:val="20"/>
        </w:rPr>
        <w:t>мс</w:t>
      </w:r>
      <w:proofErr w:type="spellEnd"/>
      <w:r>
        <w:rPr>
          <w:rFonts w:ascii="Times New Roman" w:hAnsi="Times New Roman" w:cs="Times New Roman"/>
          <w:sz w:val="20"/>
          <w:szCs w:val="20"/>
        </w:rPr>
        <w:t>; длительность конфликта 1,9мс; длительность события пусто 0,61мс. В разных статьях используются разные временные данные, так как они зависят от аппаратной реализации устройств RFID системы.</w:t>
      </w:r>
    </w:p>
    <w:p w:rsidR="00380879" w:rsidRDefault="00660504">
      <w:pPr>
        <w:pStyle w:val="Standard"/>
        <w:spacing w:line="276" w:lineRule="auto"/>
        <w:ind w:firstLine="680"/>
        <w:jc w:val="center"/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22320</wp:posOffset>
            </wp:positionV>
            <wp:extent cx="3679682" cy="1963765"/>
            <wp:effectExtent l="0" t="0" r="0" b="0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9682" cy="19637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>Рисунок 2. Схемы временных интервалов.</w:t>
      </w:r>
    </w:p>
    <w:p w:rsidR="00380879" w:rsidRDefault="00660504">
      <w:pPr>
        <w:pStyle w:val="Default"/>
        <w:spacing w:line="276" w:lineRule="auto"/>
        <w:ind w:firstLine="737"/>
        <w:jc w:val="both"/>
      </w:pPr>
      <w:r>
        <w:rPr>
          <w:rFonts w:ascii="Times New Roman" w:hAnsi="Times New Roman" w:cs="Times New Roman"/>
          <w:sz w:val="20"/>
          <w:szCs w:val="20"/>
        </w:rPr>
        <w:t>Стандарт опис</w:t>
      </w:r>
      <w:r>
        <w:rPr>
          <w:rFonts w:ascii="Times New Roman" w:hAnsi="Times New Roman" w:cs="Times New Roman"/>
          <w:sz w:val="20"/>
          <w:szCs w:val="20"/>
        </w:rPr>
        <w:t>ывает Q протокол[4], который накладывает ограничения на длину сеанса: длина сеанса зависит от параметра Q, и равна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 (рисунок 3).</w:t>
      </w:r>
    </w:p>
    <w:p w:rsidR="00380879" w:rsidRDefault="00660504">
      <w:pPr>
        <w:pStyle w:val="Default"/>
        <w:spacing w:line="276" w:lineRule="auto"/>
        <w:ind w:firstLine="737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346676</wp:posOffset>
            </wp:positionH>
            <wp:positionV relativeFrom="paragraph">
              <wp:posOffset>44997</wp:posOffset>
            </wp:positionV>
            <wp:extent cx="3116522" cy="2058122"/>
            <wp:effectExtent l="0" t="0" r="8255" b="0"/>
            <wp:wrapTopAndBottom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22" cy="2058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C71D6">
        <w:rPr>
          <w:rFonts w:ascii="Times New Roman" w:hAnsi="Times New Roman" w:cs="Times New Roman"/>
          <w:sz w:val="20"/>
          <w:szCs w:val="20"/>
        </w:rPr>
        <w:t xml:space="preserve">Рисунок 3. </w:t>
      </w:r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9C71D6">
        <w:rPr>
          <w:rFonts w:ascii="Times New Roman" w:hAnsi="Times New Roman" w:cs="Times New Roman"/>
          <w:sz w:val="20"/>
          <w:szCs w:val="20"/>
        </w:rPr>
        <w:t xml:space="preserve"> протокол</w:t>
      </w:r>
    </w:p>
    <w:p w:rsidR="00380879" w:rsidRDefault="00660504">
      <w:pPr>
        <w:pStyle w:val="Default"/>
        <w:spacing w:line="276" w:lineRule="auto"/>
        <w:ind w:firstLine="737"/>
        <w:jc w:val="both"/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fp</w:t>
      </w:r>
      <w:proofErr w:type="spellEnd"/>
      <w:r w:rsidRPr="009C71D6">
        <w:rPr>
          <w:rFonts w:ascii="Times New Roman" w:hAnsi="Times New Roman" w:cs="Times New Roman"/>
          <w:sz w:val="20"/>
          <w:szCs w:val="20"/>
        </w:rPr>
        <w:t xml:space="preserve"> – представление числа </w:t>
      </w:r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9C71D6">
        <w:rPr>
          <w:rFonts w:ascii="Times New Roman" w:hAnsi="Times New Roman" w:cs="Times New Roman"/>
          <w:sz w:val="20"/>
          <w:szCs w:val="20"/>
        </w:rPr>
        <w:t xml:space="preserve"> в формате с плавающей запятой. </w:t>
      </w:r>
      <w:r>
        <w:rPr>
          <w:rFonts w:ascii="Times New Roman" w:hAnsi="Times New Roman" w:cs="Times New Roman"/>
          <w:sz w:val="20"/>
          <w:szCs w:val="20"/>
        </w:rPr>
        <w:t xml:space="preserve">Предлагается изначально брать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fp</w:t>
      </w:r>
      <w:proofErr w:type="spellEnd"/>
      <w:r w:rsidRPr="009C71D6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9C71D6">
        <w:rPr>
          <w:rFonts w:ascii="Times New Roman" w:hAnsi="Times New Roman" w:cs="Times New Roman"/>
          <w:sz w:val="20"/>
          <w:szCs w:val="20"/>
        </w:rPr>
        <w:t xml:space="preserve">равным </w:t>
      </w: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 xml:space="preserve">0 в соответствии со стандартом. В зависимости от ситуации «КОНФЛИКТ» или «ПУСТО» параметр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изменяется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 константу </w:t>
      </w:r>
      <w:r w:rsidRPr="009C71D6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, где 0,1 &lt; </w:t>
      </w:r>
      <w:r w:rsidRPr="009C71D6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 &lt; 0,5.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В рамках стандарта Q протокол имеет два решения. Начинать новый сеанс можно в двух случаях: как только изменяется п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араметр Q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на целое значение — прерывание сеанса; по истечению всех окон сеанса — без прерывания сеанса.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В реальной системе не известно число меток, однако, для построения нижней границы Q протокола будем использовать алгоритм, для которого будет известно 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исло активных меток. [5]. Если известно число меток на начало каждого сеанса, то оптимальным будет следующий алгоритм: каждая метка в новом окне может передавать с вероятность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=1/i, где i — число активных меток.</w:t>
      </w:r>
    </w:p>
    <w:p w:rsidR="00380879" w:rsidRDefault="00660504">
      <w:pPr>
        <w:pStyle w:val="Standard"/>
        <w:spacing w:line="276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Такой оптимальный алгоритм будет не соотве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тствовать стандарту. Чтобы более точно построить нижнюю границу, так же рассмотрим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подоптимальный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алгоритм, где каждая метка может передавать с вероятностью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=1/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где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— функция зависимости от числа активных меток —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000000"/>
          <w:sz w:val="20"/>
          <w:szCs w:val="20"/>
        </w:rPr>
        <w:t>(формула 1), число активных меток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округляется до степени двойки.</w:t>
      </w:r>
    </w:p>
    <w:p w:rsidR="00380879" w:rsidRDefault="00660504">
      <w:pPr>
        <w:pStyle w:val="Standard"/>
        <w:spacing w:line="276" w:lineRule="auto"/>
        <w:ind w:firstLine="73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⌋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,если⌊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⌋≠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⌋</m:t>
                </m:r>
              </m:sup>
            </m:sSup>
            <m:r>
              <w:rPr>
                <w:rFonts w:ascii="Cambria Math" w:hAnsi="Cambria Math"/>
              </w:rPr>
              <m:t>,если⌊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⌋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eqArr>
      </m:oMath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(1)</w:t>
      </w:r>
    </w:p>
    <w:p w:rsidR="00380879" w:rsidRDefault="00660504">
      <w:pPr>
        <w:pStyle w:val="Standard"/>
        <w:spacing w:line="276" w:lineRule="auto"/>
        <w:ind w:firstLine="737"/>
        <w:jc w:val="right"/>
      </w:pPr>
      <w:r>
        <w:rPr>
          <w:rFonts w:ascii="Times New Roman" w:hAnsi="Times New Roman" w:cs="Times New Roman"/>
          <w:color w:val="000000"/>
          <w:sz w:val="20"/>
          <w:szCs w:val="20"/>
        </w:rPr>
        <w:t>Вывод теоретической формулы для расчета среднего количества окон затраченных на идентификацию меток — формула 2</w:t>
      </w:r>
      <m:oMath>
        <m:r>
          <m:rPr>
            <m:nor/>
          </m:rPr>
          <m:t>M</m:t>
        </m:r>
        <m:r>
          <w:rPr>
            <w:rFonts w:ascii="Cambria Math" w:hAnsi="Cambria Math"/>
          </w:rPr>
          <m:t>[</m:t>
        </m:r>
        <m:r>
          <m:rPr>
            <m:nor/>
          </m:rPr>
          <m:t>T</m:t>
        </m:r>
        <m:r>
          <w:rPr>
            <w:rFonts w:ascii="Cambria Math" w:hAnsi="Cambria Math"/>
          </w:rPr>
          <m:t>]=</m:t>
        </m:r>
        <m:r>
          <m:rPr>
            <m:nor/>
          </m:rPr>
          <m:t>M</m:t>
        </m:r>
        <m:r>
          <w:rPr>
            <w:rFonts w:ascii="Cambria Math" w:hAnsi="Cambria Math"/>
          </w:rPr>
          <m:t>[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m:t>i</m:t>
            </m:r>
            <m:r>
              <w:rPr>
                <w:rFonts w:ascii="Cambria Math" w:hAnsi="Cambria Math"/>
              </w:rPr>
              <m:t>=</m:t>
            </m:r>
            <m:r>
              <m:rPr>
                <m:nor/>
              </m:rPr>
              <m:t>1</m:t>
            </m:r>
          </m:sub>
          <m:sup>
            <m:r>
              <m:rPr>
                <m:nor/>
              </m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T</m:t>
                </m:r>
              </m:e>
              <m:sub>
                <m:r>
                  <m:rPr>
                    <m:nor/>
                  </m:rPr>
                  <m:t>i</m:t>
                </m:r>
              </m:sub>
            </m:sSub>
          </m:e>
        </m:nary>
        <m:r>
          <w:rPr>
            <w:rFonts w:ascii="Cambria Math" w:hAnsi="Cambria Math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m:t>i</m:t>
            </m:r>
            <m:r>
              <w:rPr>
                <w:rFonts w:ascii="Cambria Math" w:hAnsi="Cambria Math"/>
              </w:rPr>
              <m:t>=</m:t>
            </m:r>
            <m:r>
              <m:rPr>
                <m:nor/>
              </m:rPr>
              <m:t>1</m:t>
            </m:r>
          </m:sub>
          <m:sup>
            <m:r>
              <m:rPr>
                <m:nor/>
              </m:rPr>
              <m:t>k</m:t>
            </m:r>
          </m:sup>
          <m:e>
            <m:r>
              <m:rPr>
                <m:nor/>
              </m:rPr>
              <m:t>M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T</m:t>
                </m:r>
              </m:e>
              <m:sub>
                <m:r>
                  <m:rPr>
                    <m:nor/>
                  </m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=</m:t>
        </m:r>
        <m:r>
          <m:rPr>
            <m:nor/>
          </m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nor/>
                  </m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2</m:t>
                </m:r>
              </m:sub>
              <m:sup>
                <m:r>
                  <m:rPr>
                    <m:nor/>
                  </m:rPr>
                  <m:t>k</m:t>
                </m:r>
              </m:sup>
              <m:e>
                <m:r>
                  <m:rPr>
                    <m:nor/>
                  </m:rPr>
                  <m:t>1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w:proofErr w:type="spellStart"/>
                <m:r>
                  <m:rPr>
                    <m:nor/>
                  </m:rPr>
                  <m:t>ip</m:t>
                </m:r>
                <w:proofErr w:type="spellEnd"/>
              </m:e>
              <m:sub>
                <m:r>
                  <m:rPr>
                    <m:nor/>
                  </m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p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2)</w:t>
      </w:r>
    </w:p>
    <w:p w:rsidR="00380879" w:rsidRDefault="00380879">
      <w:pPr>
        <w:pStyle w:val="Standard"/>
        <w:spacing w:line="276" w:lineRule="auto"/>
        <w:ind w:firstLine="73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80879" w:rsidRDefault="00660504">
      <w:pPr>
        <w:pStyle w:val="Standard"/>
        <w:spacing w:line="276" w:lineRule="auto"/>
        <w:ind w:firstLine="73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 соответствии со стандартом окна разных событий имеют разную длительность, поэтому необходимо </w:t>
      </w:r>
      <w:r>
        <w:rPr>
          <w:rFonts w:ascii="Times New Roman" w:hAnsi="Times New Roman" w:cs="Times New Roman"/>
          <w:color w:val="000000"/>
          <w:sz w:val="20"/>
          <w:szCs w:val="20"/>
        </w:rPr>
        <w:t>вывести формулу для расчета среднего времени идентификации меток — формула 3.</w:t>
      </w:r>
    </w:p>
    <w:p w:rsidR="00380879" w:rsidRDefault="00380879">
      <w:pPr>
        <w:pStyle w:val="Standard"/>
        <w:spacing w:line="276" w:lineRule="auto"/>
        <w:ind w:firstLine="73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80879" w:rsidRDefault="00660504">
      <w:pPr>
        <w:pStyle w:val="Standard"/>
        <w:spacing w:line="276" w:lineRule="auto"/>
        <w:ind w:firstLine="737"/>
      </w:pPr>
      <m:oMathPara>
        <m:oMathParaPr>
          <m:jc m:val="left"/>
        </m:oMathParaPr>
        <m:oMath>
          <m:r>
            <m:rPr>
              <m:nor/>
            </m:rPr>
            <m:t>M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T</m:t>
              </m:r>
            </m:e>
            <m:sub>
              <m:r>
                <m:rPr>
                  <m:nor/>
                </m:rPr>
                <m:t>i</m:t>
              </m:r>
            </m:sub>
          </m:sSub>
          <m:r>
            <w:rPr>
              <w:rFonts w:ascii="Cambria Math" w:hAnsi="Cambria Math"/>
            </w:rPr>
            <m:t>]=</m:t>
          </m:r>
          <m:r>
            <m:rPr>
              <m:nor/>
            </m:rPr>
            <m:t>Pr</m:t>
          </m:r>
          <m:r>
            <w:rPr>
              <w:rFonts w:ascii="Cambria Math" w:hAnsi="Cambria Math"/>
            </w:rPr>
            <m:t>{</m:t>
          </m:r>
          <m:r>
            <m:rPr>
              <m:nor/>
            </m:rPr>
            <m:t>У</m:t>
          </m:r>
          <m:r>
            <w:rPr>
              <w:rFonts w:ascii="Cambria Math" w:hAnsi="Cambria Math"/>
            </w:rPr>
            <m:t>}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Т</m:t>
              </m:r>
            </m:e>
            <m:sub>
              <m:r>
                <m:rPr>
                  <m:nor/>
                </m:rPr>
                <m:t>У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Pr</m:t>
          </m:r>
          <m:r>
            <w:rPr>
              <w:rFonts w:ascii="Cambria Math" w:hAnsi="Cambria Math"/>
            </w:rPr>
            <m:t>{</m:t>
          </m:r>
          <m:r>
            <m:rPr>
              <m:nor/>
            </m:rPr>
            <m:t>К</m:t>
          </m:r>
          <m:r>
            <w:rPr>
              <w:rFonts w:ascii="Cambria Math" w:hAnsi="Cambria Math"/>
            </w:rPr>
            <m:t>}(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Т</m:t>
              </m:r>
            </m:e>
            <m:sub>
              <m:r>
                <m:rPr>
                  <m:nor/>
                </m:rPr>
                <m:t>К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M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T</m:t>
              </m:r>
            </m:e>
            <m:sub>
              <m:r>
                <m:rPr>
                  <m:nor/>
                </m:rPr>
                <m:t>i</m:t>
              </m:r>
            </m:sub>
          </m:sSub>
          <m:r>
            <w:rPr>
              <w:rFonts w:ascii="Cambria Math" w:hAnsi="Cambria Math"/>
            </w:rPr>
            <m:t>])+</m:t>
          </m:r>
          <m:r>
            <m:rPr>
              <m:nor/>
            </m:rPr>
            <m:t>Pr</m:t>
          </m:r>
          <m:r>
            <w:rPr>
              <w:rFonts w:ascii="Cambria Math" w:hAnsi="Cambria Math"/>
            </w:rPr>
            <m:t>{</m:t>
          </m:r>
          <m:r>
            <m:rPr>
              <m:nor/>
            </m:rPr>
            <m:t>П</m:t>
          </m:r>
          <m:r>
            <w:rPr>
              <w:rFonts w:ascii="Cambria Math" w:hAnsi="Cambria Math"/>
            </w:rPr>
            <m:t>}(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Т</m:t>
              </m:r>
            </m:e>
            <m:sub>
              <m:r>
                <m:rPr>
                  <m:nor/>
                </m:rPr>
                <m:t>П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m:t>M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T</m:t>
              </m:r>
            </m:e>
            <m:sub>
              <m:r>
                <m:rPr>
                  <m:nor/>
                </m:rPr>
                <m:t>i</m:t>
              </m:r>
            </m:sub>
          </m:sSub>
          <m:r>
            <w:rPr>
              <w:rFonts w:ascii="Cambria Math" w:hAnsi="Cambria Math"/>
            </w:rPr>
            <m:t>])</m:t>
          </m:r>
          <m:r>
            <m:rPr>
              <m:nor/>
            </m:rPr>
            <m:t>M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T</m:t>
              </m:r>
            </m:e>
            <m:sub>
              <m:r>
                <m:rPr>
                  <m:nor/>
                </m:rPr>
                <m:t>i</m:t>
              </m:r>
            </m:sub>
          </m:sSub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Pr</m:t>
              </m:r>
              <m:r>
                <w:rPr>
                  <w:rFonts w:ascii="Cambria Math" w:hAnsi="Cambria Math"/>
                </w:rPr>
                <m:t>{</m:t>
              </m:r>
              <m:r>
                <m:rPr>
                  <m:nor/>
                </m:rPr>
                <m:t>У</m:t>
              </m:r>
              <m:r>
                <w:rPr>
                  <w:rFonts w:ascii="Cambria Math" w:hAnsi="Cambria Math"/>
                </w:rPr>
                <m:t>}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T</m:t>
                  </m:r>
                </m:e>
                <m:sub>
                  <m:r>
                    <m:rPr>
                      <m:nor/>
                    </m:rPr>
                    <m:t>У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Pr</m:t>
              </m:r>
              <m:r>
                <w:rPr>
                  <w:rFonts w:ascii="Cambria Math" w:hAnsi="Cambria Math"/>
                </w:rPr>
                <m:t>{</m:t>
              </m:r>
              <m:r>
                <m:rPr>
                  <m:nor/>
                </m:rPr>
                <m:t>К</m:t>
              </m:r>
              <m:r>
                <w:rPr>
                  <w:rFonts w:ascii="Cambria Math" w:hAnsi="Cambria Math"/>
                </w:rPr>
                <m:t>}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T</m:t>
                  </m:r>
                </m:e>
                <m:sub>
                  <m:r>
                    <m:rPr>
                      <m:nor/>
                    </m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Pr</m:t>
              </m:r>
              <m:r>
                <w:rPr>
                  <w:rFonts w:ascii="Cambria Math" w:hAnsi="Cambria Math"/>
                </w:rPr>
                <m:t>{</m:t>
              </m:r>
              <m:r>
                <m:rPr>
                  <m:nor/>
                </m:rPr>
                <m:t>П</m:t>
              </m:r>
              <m:r>
                <w:rPr>
                  <w:rFonts w:ascii="Cambria Math" w:hAnsi="Cambria Math"/>
                </w:rPr>
                <m:t>}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T</m:t>
                  </m:r>
                </m:e>
                <m:sub>
                  <m:r>
                    <m:rPr>
                      <m:nor/>
                    </m:rPr>
                    <m:t>П</m:t>
                  </m:r>
                </m:sub>
              </m:sSub>
            </m:num>
            <m:den>
              <w:proofErr w:type="spellStart"/>
              <m:r>
                <m:rPr>
                  <m:nor/>
                </m:rPr>
                <m:t>Pr</m:t>
              </m:r>
              <w:proofErr w:type="spellEnd"/>
              <m:r>
                <w:rPr>
                  <w:rFonts w:ascii="Cambria Math" w:hAnsi="Cambria Math"/>
                </w:rPr>
                <m:t>{</m:t>
              </m:r>
              <m:r>
                <m:rPr>
                  <m:nor/>
                </m:rPr>
                <m:t>У</m:t>
              </m:r>
              <m:r>
                <w:rPr>
                  <w:rFonts w:ascii="Cambria Math" w:hAnsi="Cambria Math"/>
                </w:rPr>
                <m:t>}</m:t>
              </m:r>
            </m:den>
          </m:f>
        </m:oMath>
      </m:oMathPara>
    </w:p>
    <w:p w:rsidR="00380879" w:rsidRDefault="00660504">
      <w:pPr>
        <w:pStyle w:val="Standard"/>
        <w:spacing w:line="276" w:lineRule="auto"/>
        <w:ind w:firstLine="737"/>
        <w:jc w:val="right"/>
      </w:pPr>
      <w:r>
        <w:rPr>
          <w:rFonts w:ascii="Times New Roman" w:hAnsi="Times New Roman" w:cs="Times New Roman"/>
          <w:sz w:val="20"/>
          <w:szCs w:val="20"/>
        </w:rPr>
        <w:t>(3),</w:t>
      </w:r>
    </w:p>
    <w:p w:rsidR="00380879" w:rsidRDefault="00660504">
      <w:pPr>
        <w:pStyle w:val="Standard"/>
        <w:spacing w:line="276" w:lineRule="auto"/>
        <w:ind w:firstLine="737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где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{У} - вероятность события успех (4);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{К} - вероятность, что произошел конфликт (5);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>{П} - вероятность события пусто (6). Длительность окон событий успех, конфлик</w:t>
      </w:r>
      <w:r>
        <w:rPr>
          <w:rFonts w:ascii="Times New Roman" w:hAnsi="Times New Roman" w:cs="Times New Roman"/>
          <w:sz w:val="20"/>
          <w:szCs w:val="20"/>
        </w:rPr>
        <w:t>т и пусто Т</w:t>
      </w:r>
      <w:r>
        <w:rPr>
          <w:rFonts w:ascii="Times New Roman" w:hAnsi="Times New Roman" w:cs="Times New Roman"/>
          <w:sz w:val="20"/>
          <w:szCs w:val="20"/>
          <w:vertAlign w:val="subscript"/>
        </w:rPr>
        <w:t>У</w:t>
      </w:r>
      <w:r>
        <w:rPr>
          <w:rFonts w:ascii="Times New Roman" w:hAnsi="Times New Roman" w:cs="Times New Roman"/>
          <w:sz w:val="20"/>
          <w:szCs w:val="20"/>
        </w:rPr>
        <w:t>, Т</w:t>
      </w:r>
      <w:r>
        <w:rPr>
          <w:rFonts w:ascii="Times New Roman" w:hAnsi="Times New Roman" w:cs="Times New Roman"/>
          <w:sz w:val="20"/>
          <w:szCs w:val="20"/>
          <w:vertAlign w:val="subscript"/>
        </w:rPr>
        <w:t>К</w:t>
      </w:r>
      <w:r>
        <w:rPr>
          <w:rFonts w:ascii="Times New Roman" w:hAnsi="Times New Roman" w:cs="Times New Roman"/>
          <w:sz w:val="20"/>
          <w:szCs w:val="20"/>
        </w:rPr>
        <w:t xml:space="preserve"> и Т</w:t>
      </w:r>
      <w:r>
        <w:rPr>
          <w:rFonts w:ascii="Times New Roman" w:hAnsi="Times New Roman" w:cs="Times New Roman"/>
          <w:sz w:val="20"/>
          <w:szCs w:val="20"/>
          <w:vertAlign w:val="subscript"/>
        </w:rPr>
        <w:t>П</w:t>
      </w:r>
      <w:r>
        <w:rPr>
          <w:rFonts w:ascii="Times New Roman" w:hAnsi="Times New Roman" w:cs="Times New Roman"/>
          <w:sz w:val="20"/>
          <w:szCs w:val="20"/>
        </w:rPr>
        <w:t xml:space="preserve"> соответственно.</w:t>
      </w:r>
    </w:p>
    <w:p w:rsidR="00380879" w:rsidRPr="009C71D6" w:rsidRDefault="00660504">
      <w:pPr>
        <w:pStyle w:val="Standard"/>
        <w:spacing w:line="276" w:lineRule="auto"/>
        <w:ind w:firstLine="737"/>
        <w:jc w:val="center"/>
        <w:rPr>
          <w:lang w:val="en-US"/>
        </w:rPr>
      </w:pPr>
      <m:oMath>
        <m:r>
          <m:rPr>
            <m:nor/>
          </m:rPr>
          <w:rPr>
            <w:lang w:val="en-US"/>
          </w:rPr>
          <w:lastRenderedPageBreak/>
          <m:t>Pr</m:t>
        </m:r>
        <m:r>
          <w:rPr>
            <w:rFonts w:ascii="Cambria Math" w:hAnsi="Cambria Math"/>
            <w:lang w:val="en-US"/>
          </w:rPr>
          <m:t>{</m:t>
        </m:r>
        <m:r>
          <m:rPr>
            <m:nor/>
          </m:rPr>
          <m:t>У</m:t>
        </m:r>
        <m:r>
          <w:rPr>
            <w:rFonts w:ascii="Cambria Math" w:hAnsi="Cambria Math"/>
            <w:lang w:val="en-US"/>
          </w:rPr>
          <m:t>}=</m:t>
        </m:r>
        <m:r>
          <m:rPr>
            <m:nor/>
          </m:rPr>
          <w:rPr>
            <w:lang w:val="en-US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nor/>
              </m:rPr>
              <w:rPr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nor/>
              </m:rPr>
              <w:rPr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nor/>
              </m:rPr>
              <w:rPr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(4)</w:t>
      </w:r>
    </w:p>
    <w:p w:rsidR="00380879" w:rsidRPr="009C71D6" w:rsidRDefault="00660504">
      <w:pPr>
        <w:pStyle w:val="Standard"/>
        <w:spacing w:line="276" w:lineRule="auto"/>
        <w:ind w:firstLine="737"/>
        <w:jc w:val="center"/>
        <w:rPr>
          <w:lang w:val="en-US"/>
        </w:rPr>
      </w:pPr>
      <m:oMath>
        <m: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П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         (5)</w:t>
      </w:r>
    </w:p>
    <w:p w:rsidR="00380879" w:rsidRPr="009C71D6" w:rsidRDefault="00660504">
      <w:pPr>
        <w:pStyle w:val="Standard"/>
        <w:spacing w:line="276" w:lineRule="auto"/>
        <w:ind w:firstLine="737"/>
        <w:jc w:val="center"/>
        <w:rPr>
          <w:lang w:val="en-US"/>
        </w:rPr>
      </w:pPr>
      <m:oMath>
        <m:r>
          <m:rPr>
            <m:nor/>
          </m:rPr>
          <w:rPr>
            <w:lang w:val="en-US"/>
          </w:rPr>
          <m:t>Pr</m:t>
        </m:r>
        <m:r>
          <w:rPr>
            <w:rFonts w:ascii="Cambria Math" w:hAnsi="Cambria Math"/>
            <w:lang w:val="en-US"/>
          </w:rPr>
          <m:t>{</m:t>
        </m:r>
        <m:r>
          <m:rPr>
            <m:nor/>
          </m:rPr>
          <m:t>К</m:t>
        </m:r>
        <m:r>
          <w:rPr>
            <w:rFonts w:ascii="Cambria Math" w:hAnsi="Cambria Math"/>
            <w:lang w:val="en-US"/>
          </w:rPr>
          <m:t>}=</m:t>
        </m:r>
        <m:r>
          <m:rPr>
            <m:nor/>
          </m:rPr>
          <w:rPr>
            <w:lang w:val="en-US"/>
          </w:rPr>
          <m:t>1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ip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nor/>
              </m:rPr>
              <w:rPr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nor/>
              </m:rPr>
              <w:rPr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nor/>
              </m:rPr>
              <w:rPr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nor/>
              </m:rPr>
              <w:rPr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m:rPr>
                <m:nor/>
              </m:rPr>
              <w:rPr>
                <w:lang w:val="en-US"/>
              </w:rPr>
              <m:t>i</m:t>
            </m:r>
          </m:sup>
        </m:sSup>
      </m:oMath>
      <w:r w:rsidRPr="009C71D6">
        <w:rPr>
          <w:rFonts w:ascii="Times New Roman" w:hAnsi="Times New Roman" w:cs="Times New Roman"/>
          <w:lang w:val="en-US"/>
        </w:rPr>
        <w:t xml:space="preserve"> </w:t>
      </w:r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>(6)</w:t>
      </w:r>
      <w:bookmarkStart w:id="0" w:name="_GoBack"/>
      <w:bookmarkEnd w:id="0"/>
    </w:p>
    <w:p w:rsidR="00380879" w:rsidRPr="009C71D6" w:rsidRDefault="00380879">
      <w:pPr>
        <w:pStyle w:val="Standard"/>
        <w:spacing w:line="276" w:lineRule="auto"/>
        <w:ind w:firstLine="737"/>
        <w:jc w:val="center"/>
        <w:rPr>
          <w:lang w:val="en-US"/>
        </w:rPr>
      </w:pP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Как написано выше, есть много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работ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посвящённых анализу Q протокола, однако в них не приводится теоретических расчетов. Несмотря на то, что протокол описывается достаточно просто, одн</w:t>
      </w:r>
      <w:r>
        <w:rPr>
          <w:rFonts w:ascii="Times New Roman" w:hAnsi="Times New Roman" w:cs="Times New Roman"/>
          <w:color w:val="000000"/>
          <w:sz w:val="20"/>
          <w:szCs w:val="20"/>
        </w:rPr>
        <w:t>ако с учетом особенностей использования окон разной длительности и изменение длин сеанса произвести теоретические расчеты достаточно сложно. Поэтому в данной работе для анализа Q протокола используется имитационное моделирование.</w:t>
      </w:r>
    </w:p>
    <w:p w:rsidR="00380879" w:rsidRDefault="00660504">
      <w:pPr>
        <w:pStyle w:val="Standard"/>
        <w:spacing w:line="276" w:lineRule="auto"/>
        <w:ind w:firstLine="680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146688</wp:posOffset>
            </wp:positionH>
            <wp:positionV relativeFrom="paragraph">
              <wp:posOffset>1262384</wp:posOffset>
            </wp:positionV>
            <wp:extent cx="3533141" cy="2219321"/>
            <wp:effectExtent l="0" t="0" r="0" b="0"/>
            <wp:wrapTopAndBottom/>
            <wp:docPr id="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141" cy="2219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>При моделировании системы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были построены графики средней задержки времени идентификации меток для двух вариантов Q протокола и оптимальных алгоритмов. На рисунке 4 представлены графики результата моделирования: 1) Q протокол с прерыванием сеанса; 2) Протокол без прерывания сеанса;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3) Оптимальный алгоритм, где длина сеанса является степенью 2; 4) Оптимальный алгоритм, где длина сеанса равна числу активных меток.</w:t>
      </w:r>
    </w:p>
    <w:p w:rsidR="00380879" w:rsidRDefault="00380879">
      <w:pPr>
        <w:pStyle w:val="Standard"/>
        <w:spacing w:line="276" w:lineRule="auto"/>
        <w:jc w:val="both"/>
      </w:pPr>
    </w:p>
    <w:p w:rsidR="00380879" w:rsidRDefault="00660504">
      <w:pPr>
        <w:pStyle w:val="Standard"/>
        <w:spacing w:line="276" w:lineRule="auto"/>
        <w:ind w:firstLine="680"/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  <w:t>Рисунок 4. Среднее время идентификации меток.</w:t>
      </w:r>
    </w:p>
    <w:p w:rsidR="00380879" w:rsidRDefault="00380879">
      <w:pPr>
        <w:pStyle w:val="Default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</w:rPr>
      </w:pPr>
    </w:p>
    <w:p w:rsidR="00380879" w:rsidRDefault="00660504">
      <w:pPr>
        <w:pStyle w:val="Default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Заключение</w:t>
      </w:r>
    </w:p>
    <w:p w:rsidR="00380879" w:rsidRDefault="00660504">
      <w:pPr>
        <w:pStyle w:val="Standard"/>
        <w:spacing w:line="276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Проведя анализ Q протокола для стандарта радиочастотной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идентификации EPC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Global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 2 можно сказать, что для сценария идентификация статичной группы объектов лучше всего использовать Q протокол с прерыванием сеанса, времени на идентификацию большой группы объектов затрачивается значительно меньше. Для данного </w:t>
      </w:r>
      <w:r>
        <w:rPr>
          <w:rFonts w:ascii="Times New Roman" w:hAnsi="Times New Roman" w:cs="Times New Roman"/>
          <w:color w:val="000000"/>
          <w:sz w:val="20"/>
          <w:szCs w:val="20"/>
        </w:rPr>
        <w:t>сценария разработка нового протокола идентификации не требуется так, как Q протокол показывает среднее время идентификации объектов близкое к оптимальному алгоритму.</w:t>
      </w:r>
    </w:p>
    <w:p w:rsidR="00380879" w:rsidRDefault="00660504">
      <w:pPr>
        <w:pStyle w:val="Default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Список литературы</w:t>
      </w:r>
    </w:p>
    <w:p w:rsidR="00380879" w:rsidRDefault="00660504">
      <w:pPr>
        <w:pStyle w:val="Standard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EPC™ Radio-Frequency Identity Protocols Generation-2 UHF RFID.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Version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2.0.1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Ratified</w:t>
      </w:r>
      <w:proofErr w:type="spellEnd"/>
    </w:p>
    <w:p w:rsidR="00380879" w:rsidRDefault="00660504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>Feng Zheng, Thomas Kaiser, «Adaptive Aloha anti-collision algorithms for RFID systems</w:t>
      </w:r>
      <w:proofErr w:type="gramStart"/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>.»</w:t>
      </w:r>
      <w:proofErr w:type="gramEnd"/>
      <w:r w:rsidRPr="009C71D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EURASIP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Journal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Embedded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2016</w:t>
      </w:r>
    </w:p>
    <w:p w:rsidR="00380879" w:rsidRDefault="00660504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Namboodiri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Vinod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"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extensive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study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slotted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Aloha-based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RFID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anti-collision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protocols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."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ommunications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35.16 (2012): 1955-1966.</w:t>
      </w:r>
    </w:p>
    <w:p w:rsidR="00380879" w:rsidRDefault="00660504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Марковский С.Г., Марковская Н.В. Процедура идентификации меток в протоколе EPC GLOBAL GEN2 V.2.0.1. // Научная сессия ГУАП: сб. док. Ч1. Технические науки /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СПб.: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ГУАП.:СПб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., 2015.</w:t>
      </w:r>
    </w:p>
    <w:p w:rsidR="00380879" w:rsidRDefault="00660504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Г. И.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Фалин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Оценка эффективности од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ного класса алгоритмов случайного множественного доступа в радиоканал,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Пробл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передачи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информ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1982, том 18, выпуск 3, 85–90</w:t>
      </w:r>
    </w:p>
    <w:p w:rsidR="00380879" w:rsidRDefault="00380879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80879" w:rsidRPr="009C71D6" w:rsidRDefault="00380879">
      <w:pPr>
        <w:pStyle w:val="Standard"/>
        <w:spacing w:line="276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80879" w:rsidRPr="009C71D6" w:rsidSect="009C71D6">
      <w:footerReference w:type="default" r:id="rId14"/>
      <w:pgSz w:w="8391" w:h="11907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04" w:rsidRDefault="00660504">
      <w:r>
        <w:separator/>
      </w:r>
    </w:p>
  </w:endnote>
  <w:endnote w:type="continuationSeparator" w:id="0">
    <w:p w:rsidR="00660504" w:rsidRDefault="0066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D6" w:rsidRDefault="009C71D6">
    <w:pPr>
      <w:pStyle w:val="a9"/>
    </w:pPr>
  </w:p>
  <w:p w:rsidR="00F81380" w:rsidRDefault="006605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04" w:rsidRDefault="00660504">
      <w:r>
        <w:rPr>
          <w:color w:val="000000"/>
        </w:rPr>
        <w:separator/>
      </w:r>
    </w:p>
  </w:footnote>
  <w:footnote w:type="continuationSeparator" w:id="0">
    <w:p w:rsidR="00660504" w:rsidRDefault="00660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7FC1"/>
    <w:multiLevelType w:val="multilevel"/>
    <w:tmpl w:val="EB1E636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20D3810"/>
    <w:multiLevelType w:val="multilevel"/>
    <w:tmpl w:val="FE968AC4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37C8342D"/>
    <w:multiLevelType w:val="multilevel"/>
    <w:tmpl w:val="DA7A2A4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4D3539DB"/>
    <w:multiLevelType w:val="multilevel"/>
    <w:tmpl w:val="A252A92C"/>
    <w:styleLink w:val="WWNum2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4" w15:restartNumberingAfterBreak="0">
    <w:nsid w:val="7C813435"/>
    <w:multiLevelType w:val="multilevel"/>
    <w:tmpl w:val="27EE36E6"/>
    <w:styleLink w:val="WWNum1"/>
    <w:lvl w:ilvl="0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80879"/>
    <w:rsid w:val="00380879"/>
    <w:rsid w:val="00660504"/>
    <w:rsid w:val="009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5D312-6762-4E3A-B09B-C8185355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pPr>
      <w:widowControl/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Background">
    <w:name w:val="Background"/>
    <w:pPr>
      <w:widowControl/>
      <w:suppressAutoHyphens/>
    </w:pPr>
    <w:rPr>
      <w:rFonts w:eastAsia="DejaVu Sans" w:cs="Liberation Sans"/>
    </w:rPr>
  </w:style>
  <w:style w:type="paragraph" w:styleId="a7">
    <w:name w:val="Balloon Text"/>
    <w:basedOn w:val="a"/>
    <w:rPr>
      <w:rFonts w:ascii="Tahoma" w:hAnsi="Tahoma" w:cs="Mangal"/>
      <w:sz w:val="16"/>
      <w:szCs w:val="14"/>
    </w:rPr>
  </w:style>
  <w:style w:type="paragraph" w:styleId="a8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Standard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ascii="Times New Roman" w:hAnsi="Times New Roman" w:cs="OpenSymbol"/>
      <w:b w:val="0"/>
      <w:color w:val="000000"/>
      <w:sz w:val="28"/>
      <w:szCs w:val="28"/>
      <w:lang w:val="en-U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aa">
    <w:name w:val="Текст выноски Знак"/>
    <w:basedOn w:val="a0"/>
    <w:rPr>
      <w:rFonts w:ascii="Tahoma" w:hAnsi="Tahoma" w:cs="Mangal"/>
      <w:sz w:val="16"/>
      <w:szCs w:val="14"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uiPriority w:val="99"/>
    <w:rPr>
      <w:rFonts w:cs="Mangal"/>
      <w:szCs w:val="21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4">
    <w:name w:val="WWNum4"/>
    <w:basedOn w:val="a2"/>
    <w:pPr>
      <w:numPr>
        <w:numId w:val="3"/>
      </w:numPr>
    </w:pPr>
  </w:style>
  <w:style w:type="numbering" w:customStyle="1" w:styleId="WWNum7">
    <w:name w:val="WWNum7"/>
    <w:basedOn w:val="a2"/>
    <w:pPr>
      <w:numPr>
        <w:numId w:val="4"/>
      </w:numPr>
    </w:pPr>
  </w:style>
  <w:style w:type="numbering" w:customStyle="1" w:styleId="WWNum8">
    <w:name w:val="WWNum8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rlikova@mail.r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yrlikova@mail.r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077B-413F-4BA4-8124-01BB20EE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1361</Words>
  <Characters>7759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Михаил</cp:lastModifiedBy>
  <cp:revision>2</cp:revision>
  <cp:lastPrinted>2017-05-23T10:47:00Z</cp:lastPrinted>
  <dcterms:created xsi:type="dcterms:W3CDTF">2017-12-23T14:15:00Z</dcterms:created>
  <dcterms:modified xsi:type="dcterms:W3CDTF">2017-12-23T14:15:00Z</dcterms:modified>
</cp:coreProperties>
</file>