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064CD" w14:textId="78AC17A7" w:rsidR="00084F8E" w:rsidRPr="006D0CDB" w:rsidRDefault="00457371">
      <w:pPr>
        <w:rPr>
          <w:rFonts w:ascii="Abadi" w:hAnsi="Abadi"/>
        </w:rPr>
      </w:pPr>
      <w:r>
        <w:rPr>
          <w:rFonts w:ascii="Abadi" w:hAnsi="Abadi"/>
          <w:b/>
          <w:bCs/>
        </w:rPr>
        <w:t>ANKH and Associates</w:t>
      </w:r>
    </w:p>
    <w:p w14:paraId="4D37E76F" w14:textId="77777777" w:rsidR="00084F8E" w:rsidRPr="006D0CDB" w:rsidRDefault="00000000">
      <w:pPr>
        <w:rPr>
          <w:rFonts w:ascii="Abadi" w:hAnsi="Abadi"/>
        </w:rPr>
      </w:pPr>
      <w:r w:rsidRPr="006D0CDB">
        <w:rPr>
          <w:rFonts w:ascii="Abadi" w:hAnsi="Abadi"/>
        </w:rPr>
        <w:t>Chartered Accountants</w:t>
      </w:r>
    </w:p>
    <w:p w14:paraId="7E8D12D6" w14:textId="7D14690F" w:rsidR="00AD4CB8" w:rsidRPr="006D0CDB" w:rsidRDefault="00AD4CB8" w:rsidP="00AD4CB8">
      <w:pPr>
        <w:spacing w:after="240"/>
        <w:rPr>
          <w:rFonts w:ascii="Abadi" w:hAnsi="Abadi"/>
        </w:rPr>
      </w:pPr>
      <w:r w:rsidRPr="00AD4CB8">
        <w:rPr>
          <w:rFonts w:ascii="Abadi" w:hAnsi="Abadi"/>
        </w:rPr>
        <w:t>4th Floor, Nama Aurore complex</w:t>
      </w:r>
      <w:r>
        <w:rPr>
          <w:rFonts w:ascii="Abadi" w:hAnsi="Abadi"/>
        </w:rPr>
        <w:br/>
      </w:r>
      <w:r w:rsidRPr="00AD4CB8">
        <w:rPr>
          <w:rFonts w:ascii="Abadi" w:hAnsi="Abadi"/>
        </w:rPr>
        <w:t>Nagasandra Circle, S End Rd</w:t>
      </w:r>
      <w:r>
        <w:rPr>
          <w:rFonts w:ascii="Abadi" w:hAnsi="Abadi"/>
        </w:rPr>
        <w:br/>
      </w:r>
      <w:r w:rsidRPr="00AD4CB8">
        <w:rPr>
          <w:rFonts w:ascii="Abadi" w:hAnsi="Abadi"/>
        </w:rPr>
        <w:t>Tata Silk Farm, Basavanagudi</w:t>
      </w:r>
      <w:r>
        <w:rPr>
          <w:rFonts w:ascii="Abadi" w:hAnsi="Abadi"/>
        </w:rPr>
        <w:t xml:space="preserve"> </w:t>
      </w:r>
      <w:r>
        <w:rPr>
          <w:rFonts w:ascii="Abadi" w:hAnsi="Abadi"/>
        </w:rPr>
        <w:br/>
      </w:r>
      <w:r w:rsidRPr="00AD4CB8">
        <w:rPr>
          <w:rFonts w:ascii="Abadi" w:hAnsi="Abadi"/>
        </w:rPr>
        <w:t>Bengaluru,</w:t>
      </w:r>
      <w:r>
        <w:rPr>
          <w:rFonts w:ascii="Abadi" w:hAnsi="Abadi"/>
        </w:rPr>
        <w:t xml:space="preserve"> 560004</w:t>
      </w:r>
    </w:p>
    <w:p w14:paraId="1791A60D" w14:textId="0FE1768C" w:rsidR="00084F8E" w:rsidRPr="006D0CDB" w:rsidRDefault="00000000">
      <w:pPr>
        <w:spacing w:after="200"/>
        <w:rPr>
          <w:rFonts w:ascii="Abadi" w:hAnsi="Abadi"/>
        </w:rPr>
      </w:pPr>
      <w:r w:rsidRPr="006D0CDB">
        <w:rPr>
          <w:rFonts w:ascii="Abadi" w:hAnsi="Abadi"/>
        </w:rPr>
        <w:t xml:space="preserve">Date: </w:t>
      </w:r>
      <w:r w:rsidR="00AD4CB8">
        <w:rPr>
          <w:rFonts w:ascii="Abadi" w:hAnsi="Abadi"/>
        </w:rPr>
        <w:t>25-09-2026</w:t>
      </w:r>
    </w:p>
    <w:p w14:paraId="499BEE34" w14:textId="77777777" w:rsidR="00084F8E" w:rsidRPr="006D0CDB" w:rsidRDefault="00000000">
      <w:pPr>
        <w:rPr>
          <w:rFonts w:ascii="Abadi" w:hAnsi="Abadi"/>
        </w:rPr>
      </w:pPr>
      <w:r w:rsidRPr="006D0CDB">
        <w:rPr>
          <w:rFonts w:ascii="Abadi" w:hAnsi="Abadi"/>
        </w:rPr>
        <w:t>To,</w:t>
      </w:r>
    </w:p>
    <w:p w14:paraId="7E0E248B" w14:textId="77777777" w:rsidR="00084F8E" w:rsidRPr="006D0CDB" w:rsidRDefault="00000000">
      <w:pPr>
        <w:rPr>
          <w:rFonts w:ascii="Abadi" w:hAnsi="Abadi"/>
        </w:rPr>
      </w:pPr>
      <w:r w:rsidRPr="006D0CDB">
        <w:rPr>
          <w:rFonts w:ascii="Abadi" w:hAnsi="Abadi"/>
        </w:rPr>
        <w:t>The Managing Committee</w:t>
      </w:r>
    </w:p>
    <w:p w14:paraId="3F30C873" w14:textId="0B0B90A6" w:rsidR="00084F8E" w:rsidRDefault="00AD4CB8" w:rsidP="00AD4CB8">
      <w:pPr>
        <w:rPr>
          <w:rFonts w:ascii="Abadi" w:hAnsi="Abadi"/>
        </w:rPr>
      </w:pPr>
      <w:r>
        <w:rPr>
          <w:rFonts w:ascii="Abadi" w:hAnsi="Abadi"/>
        </w:rPr>
        <w:t>Sobha Palm Court Apartment Owner Association</w:t>
      </w:r>
    </w:p>
    <w:p w14:paraId="5CFF6DDC" w14:textId="77777777" w:rsidR="00AD4CB8" w:rsidRDefault="00AD4CB8" w:rsidP="00AD4CB8">
      <w:pPr>
        <w:rPr>
          <w:rFonts w:ascii="Abadi" w:hAnsi="Abadi"/>
        </w:rPr>
      </w:pPr>
      <w:r w:rsidRPr="00AD4CB8">
        <w:rPr>
          <w:rFonts w:ascii="Abadi" w:hAnsi="Abadi"/>
        </w:rPr>
        <w:t xml:space="preserve">Kogilu Main Road, Maruthi Nagar, </w:t>
      </w:r>
      <w:r>
        <w:rPr>
          <w:rFonts w:ascii="Abadi" w:hAnsi="Abadi"/>
        </w:rPr>
        <w:br/>
      </w:r>
      <w:r w:rsidRPr="00AD4CB8">
        <w:rPr>
          <w:rFonts w:ascii="Abadi" w:hAnsi="Abadi"/>
        </w:rPr>
        <w:t>Yalahanka</w:t>
      </w:r>
      <w:r>
        <w:rPr>
          <w:rFonts w:ascii="Abadi" w:hAnsi="Abadi"/>
        </w:rPr>
        <w:t>, Bengaluru</w:t>
      </w:r>
    </w:p>
    <w:p w14:paraId="2EEAD9A5" w14:textId="2ECB47E7" w:rsidR="00AD4CB8" w:rsidRPr="006D0CDB" w:rsidRDefault="00AD4CB8" w:rsidP="00AD4CB8">
      <w:pPr>
        <w:rPr>
          <w:rFonts w:ascii="Abadi" w:hAnsi="Abadi"/>
        </w:rPr>
      </w:pPr>
      <w:r>
        <w:rPr>
          <w:rFonts w:ascii="Abadi" w:hAnsi="Abadi"/>
        </w:rPr>
        <w:t>560064</w:t>
      </w:r>
      <w:r w:rsidRPr="00AD4CB8">
        <w:rPr>
          <w:rFonts w:ascii="Abadi" w:hAnsi="Abadi"/>
        </w:rPr>
        <w:tab/>
      </w:r>
      <w:r w:rsidRPr="00AD4CB8">
        <w:rPr>
          <w:rFonts w:ascii="Abadi" w:hAnsi="Abadi"/>
        </w:rPr>
        <w:tab/>
      </w:r>
    </w:p>
    <w:p w14:paraId="48E23500" w14:textId="77777777" w:rsidR="00AD4CB8" w:rsidRDefault="00AD4CB8">
      <w:pPr>
        <w:spacing w:after="120" w:line="276" w:lineRule="auto"/>
        <w:rPr>
          <w:rFonts w:ascii="Abadi" w:hAnsi="Abadi"/>
          <w:b/>
          <w:bCs/>
        </w:rPr>
      </w:pPr>
    </w:p>
    <w:p w14:paraId="4D86C3C3" w14:textId="240758B1" w:rsidR="00084F8E" w:rsidRPr="006D0CDB" w:rsidRDefault="00000000">
      <w:pPr>
        <w:spacing w:after="120" w:line="276" w:lineRule="auto"/>
        <w:rPr>
          <w:rFonts w:ascii="Abadi" w:hAnsi="Abadi"/>
        </w:rPr>
      </w:pPr>
      <w:r w:rsidRPr="006D0CDB">
        <w:rPr>
          <w:rFonts w:ascii="Abadi" w:hAnsi="Abadi"/>
          <w:b/>
          <w:bCs/>
        </w:rPr>
        <w:t>Subject: Our response to the Committee's observations on the financial statements for FY 2025-26 (Para d, Page 4)</w:t>
      </w:r>
    </w:p>
    <w:p w14:paraId="4610DD77" w14:textId="77777777" w:rsidR="00084F8E" w:rsidRPr="006D0CDB" w:rsidRDefault="00000000">
      <w:pPr>
        <w:spacing w:after="120" w:line="276" w:lineRule="auto"/>
        <w:jc w:val="both"/>
        <w:rPr>
          <w:rFonts w:ascii="Abadi" w:hAnsi="Abadi"/>
        </w:rPr>
      </w:pPr>
      <w:r w:rsidRPr="006D0CDB">
        <w:rPr>
          <w:rFonts w:ascii="Abadi" w:hAnsi="Abadi"/>
        </w:rPr>
        <w:t>Dear Members,</w:t>
      </w:r>
    </w:p>
    <w:p w14:paraId="100CFEF7" w14:textId="77777777" w:rsidR="00084F8E" w:rsidRPr="006D0CDB" w:rsidRDefault="00000000">
      <w:pPr>
        <w:spacing w:after="120" w:line="276" w:lineRule="auto"/>
        <w:jc w:val="both"/>
        <w:rPr>
          <w:rFonts w:ascii="Abadi" w:hAnsi="Abadi"/>
        </w:rPr>
      </w:pPr>
      <w:r w:rsidRPr="006D0CDB">
        <w:rPr>
          <w:rFonts w:ascii="Abadi" w:hAnsi="Abadi"/>
        </w:rPr>
        <w:t>Thank you for your detailed review of the FY 2025-26 financial statements. We welcome the Committee's close involvement, which helps improve transparency for all members. Our response to each observation is below.</w:t>
      </w:r>
    </w:p>
    <w:p w14:paraId="5D9E1050" w14:textId="77777777" w:rsidR="00084F8E" w:rsidRPr="006D0CDB" w:rsidRDefault="00000000">
      <w:pPr>
        <w:keepNext/>
        <w:pBdr>
          <w:bottom w:val="single" w:sz="4" w:space="2" w:color="8EA9DB"/>
        </w:pBdr>
        <w:spacing w:before="240" w:after="120"/>
        <w:rPr>
          <w:rFonts w:ascii="Abadi" w:hAnsi="Abadi"/>
        </w:rPr>
      </w:pPr>
      <w:r w:rsidRPr="006D0CDB">
        <w:rPr>
          <w:rFonts w:ascii="Abadi" w:hAnsi="Abadi"/>
          <w:b/>
          <w:bCs/>
          <w:sz w:val="23"/>
          <w:szCs w:val="23"/>
        </w:rPr>
        <w:t>(i) Withdrawal of corpus funds</w:t>
      </w:r>
    </w:p>
    <w:p w14:paraId="13E4AAF3" w14:textId="77777777" w:rsidR="00084F8E" w:rsidRPr="006D0CDB" w:rsidRDefault="00000000">
      <w:pPr>
        <w:spacing w:after="120" w:line="276" w:lineRule="auto"/>
        <w:jc w:val="both"/>
        <w:rPr>
          <w:rFonts w:ascii="Abadi" w:hAnsi="Abadi"/>
        </w:rPr>
      </w:pPr>
      <w:r w:rsidRPr="006D0CDB">
        <w:rPr>
          <w:rFonts w:ascii="Abadi" w:hAnsi="Abadi"/>
        </w:rPr>
        <w:t>The use of corpus funds during the year was reported to members. It was:</w:t>
      </w:r>
    </w:p>
    <w:p w14:paraId="467EF69B" w14:textId="62C658F8"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 xml:space="preserve">highlighted in our internal audit report </w:t>
      </w:r>
      <w:r w:rsidR="006D0CDB">
        <w:rPr>
          <w:rFonts w:ascii="Abadi" w:hAnsi="Abadi"/>
        </w:rPr>
        <w:t>which was circulated to all the members</w:t>
      </w:r>
      <w:r w:rsidRPr="006D0CDB">
        <w:rPr>
          <w:rFonts w:ascii="Abadi" w:hAnsi="Abadi"/>
        </w:rPr>
        <w:t>; and</w:t>
      </w:r>
    </w:p>
    <w:p w14:paraId="0FC77958" w14:textId="74B85C81"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presented by us at the General Body Meeting</w:t>
      </w:r>
      <w:r w:rsidR="006D0CDB">
        <w:rPr>
          <w:rFonts w:ascii="Abadi" w:hAnsi="Abadi"/>
        </w:rPr>
        <w:t>,</w:t>
      </w:r>
      <w:r w:rsidRPr="006D0CDB">
        <w:rPr>
          <w:rFonts w:ascii="Abadi" w:hAnsi="Abadi"/>
        </w:rPr>
        <w:t xml:space="preserve"> where members discussed it.</w:t>
      </w:r>
    </w:p>
    <w:p w14:paraId="7286E10F" w14:textId="77777777" w:rsidR="00084F8E" w:rsidRPr="006D0CDB" w:rsidRDefault="00000000">
      <w:pPr>
        <w:spacing w:after="120" w:line="276" w:lineRule="auto"/>
        <w:jc w:val="both"/>
        <w:rPr>
          <w:rFonts w:ascii="Abadi" w:hAnsi="Abadi"/>
        </w:rPr>
      </w:pPr>
      <w:r w:rsidRPr="006D0CDB">
        <w:rPr>
          <w:rFonts w:ascii="Abadi" w:hAnsi="Abadi"/>
        </w:rPr>
        <w:t xml:space="preserve">The matter was therefore disclosed and was not left out of our reporting. From FY 2026-27 we recommend that the financial statements include a separate </w:t>
      </w:r>
      <w:r w:rsidRPr="006D0CDB">
        <w:rPr>
          <w:rFonts w:ascii="Abadi" w:hAnsi="Abadi"/>
          <w:b/>
          <w:bCs/>
        </w:rPr>
        <w:t>Corpus Fund Movement Schedule</w:t>
      </w:r>
      <w:r w:rsidRPr="006D0CDB">
        <w:rPr>
          <w:rFonts w:ascii="Abadi" w:hAnsi="Abadi"/>
        </w:rPr>
        <w:t>, showing the opening balance, additions, withdrawals (with purpose and GBM/MC approval reference) and closing balance. We support the Committee's suggestion of joint authorisation for corpus withdrawals by two MC members, subject to GBM approval.</w:t>
      </w:r>
    </w:p>
    <w:p w14:paraId="3B74F037" w14:textId="77777777" w:rsidR="00084F8E" w:rsidRPr="006D0CDB" w:rsidRDefault="00000000">
      <w:pPr>
        <w:keepNext/>
        <w:pBdr>
          <w:bottom w:val="single" w:sz="4" w:space="2" w:color="8EA9DB"/>
        </w:pBdr>
        <w:spacing w:before="240" w:after="120"/>
        <w:rPr>
          <w:rFonts w:ascii="Abadi" w:hAnsi="Abadi"/>
        </w:rPr>
      </w:pPr>
      <w:r w:rsidRPr="006D0CDB">
        <w:rPr>
          <w:rFonts w:ascii="Abadi" w:hAnsi="Abadi"/>
          <w:b/>
          <w:bCs/>
          <w:sz w:val="23"/>
          <w:szCs w:val="23"/>
        </w:rPr>
        <w:t xml:space="preserve">(ii) Purchase of CCTV (M/s Saferock India Pvt Ltd, </w:t>
      </w:r>
      <w:r w:rsidRPr="006D0CDB">
        <w:rPr>
          <w:b/>
          <w:bCs/>
          <w:sz w:val="23"/>
          <w:szCs w:val="23"/>
        </w:rPr>
        <w:t>₹</w:t>
      </w:r>
      <w:r w:rsidRPr="006D0CDB">
        <w:rPr>
          <w:rFonts w:ascii="Abadi" w:hAnsi="Abadi"/>
          <w:b/>
          <w:bCs/>
          <w:sz w:val="23"/>
          <w:szCs w:val="23"/>
        </w:rPr>
        <w:t>1,23,868)</w:t>
      </w:r>
    </w:p>
    <w:p w14:paraId="103039E3" w14:textId="77777777" w:rsidR="00084F8E" w:rsidRPr="006D0CDB" w:rsidRDefault="00000000">
      <w:pPr>
        <w:spacing w:after="120" w:line="276" w:lineRule="auto"/>
        <w:jc w:val="both"/>
        <w:rPr>
          <w:rFonts w:ascii="Abadi" w:hAnsi="Abadi"/>
        </w:rPr>
      </w:pPr>
      <w:r w:rsidRPr="006D0CDB">
        <w:rPr>
          <w:rFonts w:ascii="Abadi" w:hAnsi="Abadi"/>
        </w:rPr>
        <w:t>We have reviewed this again and the classification is correct.</w:t>
      </w:r>
    </w:p>
    <w:p w14:paraId="25296D04"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The CCTV system (cameras, recorder, cabling and accessories) is a tangible asset used for the association's security over several years. It therefore qualifies as Property, Plant &amp; Equipment under AS 10.</w:t>
      </w:r>
    </w:p>
    <w:p w14:paraId="41480B18"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 xml:space="preserve">Under the Income-tax depreciation schedule it falls under </w:t>
      </w:r>
      <w:r w:rsidRPr="006D0CDB">
        <w:rPr>
          <w:rFonts w:ascii="Abadi" w:hAnsi="Abadi"/>
          <w:b/>
          <w:bCs/>
        </w:rPr>
        <w:t>Plant &amp; Machinery (general) at 15%</w:t>
      </w:r>
      <w:r w:rsidRPr="006D0CDB">
        <w:rPr>
          <w:rFonts w:ascii="Abadi" w:hAnsi="Abadi"/>
        </w:rPr>
        <w:t xml:space="preserve">. The asset was bought on 05.03.2026 and used for less than 180 days in the year, so half the rate (7.5%) applies: depreciation of about </w:t>
      </w:r>
      <w:r w:rsidRPr="006D0CDB">
        <w:t>₹</w:t>
      </w:r>
      <w:r w:rsidRPr="006D0CDB">
        <w:rPr>
          <w:rFonts w:ascii="Abadi" w:hAnsi="Abadi"/>
        </w:rPr>
        <w:t>9,290 for FY 2025-26.</w:t>
      </w:r>
    </w:p>
    <w:p w14:paraId="03DE6CFE" w14:textId="77777777" w:rsidR="00084F8E" w:rsidRPr="006D0CDB" w:rsidRDefault="00000000">
      <w:pPr>
        <w:spacing w:after="120" w:line="276" w:lineRule="auto"/>
        <w:jc w:val="both"/>
        <w:rPr>
          <w:rFonts w:ascii="Abadi" w:hAnsi="Abadi"/>
        </w:rPr>
      </w:pPr>
      <w:r w:rsidRPr="006D0CDB">
        <w:rPr>
          <w:rFonts w:ascii="Abadi" w:hAnsi="Abadi"/>
        </w:rPr>
        <w:t>The depreciation schedule is correct for this item, and the Income &amp; Expenditure account is not affected.</w:t>
      </w:r>
    </w:p>
    <w:p w14:paraId="0707F484" w14:textId="77777777" w:rsidR="00084F8E" w:rsidRPr="006D0CDB" w:rsidRDefault="00000000">
      <w:pPr>
        <w:keepNext/>
        <w:pBdr>
          <w:bottom w:val="single" w:sz="4" w:space="2" w:color="8EA9DB"/>
        </w:pBdr>
        <w:spacing w:before="240" w:after="120"/>
        <w:rPr>
          <w:rFonts w:ascii="Abadi" w:hAnsi="Abadi"/>
        </w:rPr>
      </w:pPr>
      <w:r w:rsidRPr="006D0CDB">
        <w:rPr>
          <w:rFonts w:ascii="Abadi" w:hAnsi="Abadi"/>
          <w:b/>
          <w:bCs/>
          <w:sz w:val="23"/>
          <w:szCs w:val="23"/>
        </w:rPr>
        <w:lastRenderedPageBreak/>
        <w:t xml:space="preserve">(iii) Purchase of pedestal fan (M/s Reliance Electricals, </w:t>
      </w:r>
      <w:r w:rsidRPr="006D0CDB">
        <w:rPr>
          <w:b/>
          <w:bCs/>
          <w:sz w:val="23"/>
          <w:szCs w:val="23"/>
        </w:rPr>
        <w:t>₹</w:t>
      </w:r>
      <w:r w:rsidRPr="006D0CDB">
        <w:rPr>
          <w:rFonts w:ascii="Abadi" w:hAnsi="Abadi"/>
          <w:b/>
          <w:bCs/>
          <w:sz w:val="23"/>
          <w:szCs w:val="23"/>
        </w:rPr>
        <w:t>10,101.68)</w:t>
      </w:r>
    </w:p>
    <w:p w14:paraId="573C0DD2" w14:textId="77777777" w:rsidR="00084F8E" w:rsidRPr="006D0CDB" w:rsidRDefault="00000000">
      <w:pPr>
        <w:keepNext/>
        <w:spacing w:after="120" w:line="276" w:lineRule="auto"/>
        <w:jc w:val="both"/>
        <w:rPr>
          <w:rFonts w:ascii="Abadi" w:hAnsi="Abadi"/>
        </w:rPr>
      </w:pPr>
      <w:r w:rsidRPr="006D0CDB">
        <w:rPr>
          <w:rFonts w:ascii="Abadi" w:hAnsi="Abadi"/>
        </w:rPr>
        <w:t xml:space="preserve">We accept this observation. Under the Income-tax depreciation schedule, fans fall within "electrical fittings" under </w:t>
      </w:r>
      <w:r w:rsidRPr="006D0CDB">
        <w:rPr>
          <w:rFonts w:ascii="Abadi" w:hAnsi="Abadi"/>
          <w:b/>
          <w:bCs/>
        </w:rPr>
        <w:t>Furniture &amp; Fittings (10%)</w:t>
      </w:r>
      <w:r w:rsidRPr="006D0CDB">
        <w:rPr>
          <w:rFonts w:ascii="Abadi" w:hAnsi="Abadi"/>
        </w:rPr>
        <w:t>, not Plant &amp; Machinery (15%). The effect on the accounts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600"/>
        <w:gridCol w:w="1850"/>
        <w:gridCol w:w="1850"/>
        <w:gridCol w:w="1726"/>
      </w:tblGrid>
      <w:tr w:rsidR="00084F8E" w:rsidRPr="006D0CDB" w14:paraId="1BFE6AD4" w14:textId="77777777" w:rsidTr="006D0CDB">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35EB0F06" w14:textId="77777777" w:rsidR="00084F8E" w:rsidRPr="006D0CDB" w:rsidRDefault="00000000">
            <w:pPr>
              <w:keepNext/>
              <w:keepLines/>
              <w:rPr>
                <w:rFonts w:ascii="Abadi" w:hAnsi="Abadi"/>
              </w:rPr>
            </w:pPr>
            <w:r w:rsidRPr="006D0CDB">
              <w:rPr>
                <w:rFonts w:ascii="Abadi" w:hAnsi="Abadi"/>
                <w:b/>
                <w:bCs/>
                <w:sz w:val="20"/>
                <w:szCs w:val="20"/>
              </w:rPr>
              <w:t>Basis</w:t>
            </w:r>
          </w:p>
        </w:tc>
        <w:tc>
          <w:tcPr>
            <w:tcW w:w="18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15AC3BF0" w14:textId="77777777" w:rsidR="00084F8E" w:rsidRPr="006D0CDB" w:rsidRDefault="00000000">
            <w:pPr>
              <w:keepNext/>
              <w:keepLines/>
              <w:jc w:val="right"/>
              <w:rPr>
                <w:rFonts w:ascii="Abadi" w:hAnsi="Abadi"/>
              </w:rPr>
            </w:pPr>
            <w:r w:rsidRPr="006D0CDB">
              <w:rPr>
                <w:rFonts w:ascii="Abadi" w:hAnsi="Abadi"/>
                <w:b/>
                <w:bCs/>
                <w:sz w:val="20"/>
                <w:szCs w:val="20"/>
              </w:rPr>
              <w:t>Depreciation @15% (P&amp;M)</w:t>
            </w:r>
          </w:p>
        </w:tc>
        <w:tc>
          <w:tcPr>
            <w:tcW w:w="18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0B84291A" w14:textId="77777777" w:rsidR="00084F8E" w:rsidRPr="006D0CDB" w:rsidRDefault="00000000">
            <w:pPr>
              <w:keepNext/>
              <w:keepLines/>
              <w:jc w:val="right"/>
              <w:rPr>
                <w:rFonts w:ascii="Abadi" w:hAnsi="Abadi"/>
              </w:rPr>
            </w:pPr>
            <w:r w:rsidRPr="006D0CDB">
              <w:rPr>
                <w:rFonts w:ascii="Abadi" w:hAnsi="Abadi"/>
                <w:b/>
                <w:bCs/>
                <w:sz w:val="20"/>
                <w:szCs w:val="20"/>
              </w:rPr>
              <w:t>Depreciation @10% (F&amp;F)</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682985C9" w14:textId="77777777" w:rsidR="00084F8E" w:rsidRPr="006D0CDB" w:rsidRDefault="00000000">
            <w:pPr>
              <w:keepNext/>
              <w:keepLines/>
              <w:jc w:val="right"/>
              <w:rPr>
                <w:rFonts w:ascii="Abadi" w:hAnsi="Abadi"/>
              </w:rPr>
            </w:pPr>
            <w:r w:rsidRPr="006D0CDB">
              <w:rPr>
                <w:rFonts w:ascii="Abadi" w:hAnsi="Abadi"/>
                <w:b/>
                <w:bCs/>
                <w:sz w:val="20"/>
                <w:szCs w:val="20"/>
              </w:rPr>
              <w:t>Excess charged</w:t>
            </w:r>
          </w:p>
        </w:tc>
      </w:tr>
      <w:tr w:rsidR="00084F8E" w:rsidRPr="006D0CDB" w14:paraId="054EE484" w14:textId="77777777" w:rsidTr="006D0CDB">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0A5515B2" w14:textId="77777777" w:rsidR="00084F8E" w:rsidRPr="006D0CDB" w:rsidRDefault="00000000">
            <w:pPr>
              <w:keepNext/>
              <w:keepLines/>
              <w:rPr>
                <w:rFonts w:ascii="Abadi" w:hAnsi="Abadi"/>
              </w:rPr>
            </w:pPr>
            <w:r w:rsidRPr="006D0CDB">
              <w:rPr>
                <w:rFonts w:ascii="Abadi" w:hAnsi="Abadi"/>
                <w:sz w:val="20"/>
                <w:szCs w:val="20"/>
              </w:rPr>
              <w:t>Income-tax basis (half rate, used &lt; 180 days)</w:t>
            </w:r>
          </w:p>
        </w:tc>
        <w:tc>
          <w:tcPr>
            <w:tcW w:w="18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7D2DF67F" w14:textId="77777777" w:rsidR="00084F8E" w:rsidRPr="006D0CDB" w:rsidRDefault="00000000">
            <w:pPr>
              <w:keepNext/>
              <w:keepLines/>
              <w:jc w:val="right"/>
              <w:rPr>
                <w:rFonts w:ascii="Abadi" w:hAnsi="Abadi"/>
              </w:rPr>
            </w:pPr>
            <w:r w:rsidRPr="006D0CDB">
              <w:rPr>
                <w:sz w:val="20"/>
                <w:szCs w:val="20"/>
              </w:rPr>
              <w:t>₹</w:t>
            </w:r>
            <w:r w:rsidRPr="006D0CDB">
              <w:rPr>
                <w:rFonts w:ascii="Abadi" w:hAnsi="Abadi"/>
                <w:sz w:val="20"/>
                <w:szCs w:val="20"/>
              </w:rPr>
              <w:t>757.63</w:t>
            </w:r>
          </w:p>
        </w:tc>
        <w:tc>
          <w:tcPr>
            <w:tcW w:w="185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6756661D" w14:textId="77777777" w:rsidR="00084F8E" w:rsidRPr="006D0CDB" w:rsidRDefault="00000000">
            <w:pPr>
              <w:keepNext/>
              <w:keepLines/>
              <w:jc w:val="right"/>
              <w:rPr>
                <w:rFonts w:ascii="Abadi" w:hAnsi="Abadi"/>
              </w:rPr>
            </w:pPr>
            <w:r w:rsidRPr="006D0CDB">
              <w:rPr>
                <w:sz w:val="20"/>
                <w:szCs w:val="20"/>
              </w:rPr>
              <w:t>₹</w:t>
            </w:r>
            <w:r w:rsidRPr="006D0CDB">
              <w:rPr>
                <w:rFonts w:ascii="Abadi" w:hAnsi="Abadi"/>
                <w:sz w:val="20"/>
                <w:szCs w:val="20"/>
              </w:rPr>
              <w:t>505.08</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80" w:type="dxa"/>
              <w:left w:w="100" w:type="dxa"/>
              <w:bottom w:w="80" w:type="dxa"/>
              <w:right w:w="100" w:type="dxa"/>
            </w:tcMar>
          </w:tcPr>
          <w:p w14:paraId="789849AA" w14:textId="77777777" w:rsidR="00084F8E" w:rsidRPr="006D0CDB" w:rsidRDefault="00000000">
            <w:pPr>
              <w:keepNext/>
              <w:keepLines/>
              <w:jc w:val="right"/>
              <w:rPr>
                <w:rFonts w:ascii="Abadi" w:hAnsi="Abadi"/>
              </w:rPr>
            </w:pPr>
            <w:r w:rsidRPr="006D0CDB">
              <w:rPr>
                <w:b/>
                <w:bCs/>
                <w:sz w:val="20"/>
                <w:szCs w:val="20"/>
              </w:rPr>
              <w:t>₹</w:t>
            </w:r>
            <w:r w:rsidRPr="006D0CDB">
              <w:rPr>
                <w:rFonts w:ascii="Abadi" w:hAnsi="Abadi"/>
                <w:b/>
                <w:bCs/>
                <w:sz w:val="20"/>
                <w:szCs w:val="20"/>
              </w:rPr>
              <w:t>252.55</w:t>
            </w:r>
          </w:p>
        </w:tc>
      </w:tr>
    </w:tbl>
    <w:p w14:paraId="36AF5D8F" w14:textId="74623A9C" w:rsidR="00084F8E" w:rsidRPr="006D0CDB" w:rsidRDefault="00000000">
      <w:pPr>
        <w:spacing w:before="160" w:after="120" w:line="276" w:lineRule="auto"/>
        <w:jc w:val="both"/>
        <w:rPr>
          <w:rFonts w:ascii="Abadi" w:hAnsi="Abadi"/>
        </w:rPr>
      </w:pPr>
      <w:r w:rsidRPr="006D0CDB">
        <w:rPr>
          <w:rFonts w:ascii="Abadi" w:hAnsi="Abadi"/>
        </w:rPr>
        <w:t xml:space="preserve">The difference is about </w:t>
      </w:r>
      <w:r w:rsidRPr="006D0CDB">
        <w:t>₹</w:t>
      </w:r>
      <w:r w:rsidRPr="006D0CDB">
        <w:rPr>
          <w:rFonts w:ascii="Abadi" w:hAnsi="Abadi"/>
        </w:rPr>
        <w:t xml:space="preserve">253, which is </w:t>
      </w:r>
      <w:r w:rsidRPr="006D0CDB">
        <w:rPr>
          <w:rFonts w:ascii="Abadi" w:hAnsi="Abadi"/>
          <w:b/>
          <w:bCs/>
        </w:rPr>
        <w:t>not material</w:t>
      </w:r>
      <w:r w:rsidRPr="006D0CDB">
        <w:rPr>
          <w:rFonts w:ascii="Abadi" w:hAnsi="Abadi"/>
        </w:rPr>
        <w:t xml:space="preserve"> to the financial statements. We will reclassify the fan to Furniture &amp; Fittings in FY 2026-27 so that it matches earlier fan purchases.</w:t>
      </w:r>
    </w:p>
    <w:p w14:paraId="00A5100B" w14:textId="77777777" w:rsidR="00084F8E" w:rsidRPr="006D0CDB" w:rsidRDefault="00000000">
      <w:pPr>
        <w:keepNext/>
        <w:pBdr>
          <w:bottom w:val="single" w:sz="4" w:space="2" w:color="8EA9DB"/>
        </w:pBdr>
        <w:spacing w:before="240" w:after="120"/>
        <w:rPr>
          <w:rFonts w:ascii="Abadi" w:hAnsi="Abadi"/>
        </w:rPr>
      </w:pPr>
      <w:r w:rsidRPr="006D0CDB">
        <w:rPr>
          <w:rFonts w:ascii="Abadi" w:hAnsi="Abadi"/>
          <w:b/>
          <w:bCs/>
          <w:sz w:val="23"/>
          <w:szCs w:val="23"/>
        </w:rPr>
        <w:t>(iv) Payment to M/s Shakti Hormann Pvt Ltd (</w:t>
      </w:r>
      <w:r w:rsidRPr="006D0CDB">
        <w:rPr>
          <w:b/>
          <w:bCs/>
          <w:sz w:val="23"/>
          <w:szCs w:val="23"/>
        </w:rPr>
        <w:t>₹</w:t>
      </w:r>
      <w:r w:rsidRPr="006D0CDB">
        <w:rPr>
          <w:rFonts w:ascii="Abadi" w:hAnsi="Abadi"/>
          <w:b/>
          <w:bCs/>
          <w:sz w:val="23"/>
          <w:szCs w:val="23"/>
        </w:rPr>
        <w:t>86,184, 01.03.2026)</w:t>
      </w:r>
    </w:p>
    <w:p w14:paraId="57652859" w14:textId="75781959" w:rsidR="00084F8E" w:rsidRPr="006D0CDB" w:rsidRDefault="00000000">
      <w:pPr>
        <w:spacing w:after="120" w:line="276" w:lineRule="auto"/>
        <w:jc w:val="both"/>
        <w:rPr>
          <w:rFonts w:ascii="Abadi" w:hAnsi="Abadi"/>
        </w:rPr>
      </w:pPr>
      <w:r w:rsidRPr="006D0CDB">
        <w:rPr>
          <w:rFonts w:ascii="Abadi" w:hAnsi="Abadi"/>
        </w:rPr>
        <w:t>We acknowledge that this transaction was not specifically named in our report. However, it was covered by our audit work</w:t>
      </w:r>
      <w:r w:rsidR="00725586">
        <w:rPr>
          <w:rFonts w:ascii="Abadi" w:hAnsi="Abadi"/>
        </w:rPr>
        <w:t>;</w:t>
      </w:r>
    </w:p>
    <w:p w14:paraId="5EC9BA92" w14:textId="56EE6553"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 xml:space="preserve">Our quarterly internal audit report made a </w:t>
      </w:r>
      <w:r w:rsidRPr="006D0CDB">
        <w:rPr>
          <w:rFonts w:ascii="Abadi" w:hAnsi="Abadi"/>
          <w:b/>
          <w:bCs/>
        </w:rPr>
        <w:t>general observation</w:t>
      </w:r>
      <w:r w:rsidRPr="006D0CDB">
        <w:rPr>
          <w:rFonts w:ascii="Abadi" w:hAnsi="Abadi"/>
        </w:rPr>
        <w:t xml:space="preserve"> that certain </w:t>
      </w:r>
      <w:r w:rsidR="006D0CDB">
        <w:rPr>
          <w:rFonts w:ascii="Abadi" w:hAnsi="Abadi"/>
        </w:rPr>
        <w:t>documents</w:t>
      </w:r>
      <w:r w:rsidRPr="006D0CDB">
        <w:rPr>
          <w:rFonts w:ascii="Abadi" w:hAnsi="Abadi"/>
        </w:rPr>
        <w:t xml:space="preserve"> and approval signatures were not available</w:t>
      </w:r>
      <w:r w:rsidR="00725586">
        <w:rPr>
          <w:rFonts w:ascii="Abadi" w:hAnsi="Abadi"/>
        </w:rPr>
        <w:t>. Our observations which is circulated to the MC members after our review of accounts contained the details of the invoices which were missing and the signatures which were not available. Due to non-availability of the documentation person and majority committee members during the Q4 of FY 2025-26, the filing and documentation work was not so effective. This was discussed with the committee members during the audit.</w:t>
      </w:r>
    </w:p>
    <w:p w14:paraId="7C0748FA" w14:textId="592B6D16"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 xml:space="preserve">To confirm the transaction was genuine, we </w:t>
      </w:r>
      <w:r w:rsidRPr="006D0CDB">
        <w:rPr>
          <w:rFonts w:ascii="Abadi" w:hAnsi="Abadi"/>
          <w:b/>
          <w:bCs/>
        </w:rPr>
        <w:t>cross-verified the supplier's invoice details in the GST returns</w:t>
      </w:r>
      <w:r w:rsidR="00725586">
        <w:rPr>
          <w:rFonts w:ascii="Abadi" w:hAnsi="Abadi"/>
        </w:rPr>
        <w:t xml:space="preserve"> [GSTR 2B] </w:t>
      </w:r>
      <w:r w:rsidRPr="006D0CDB">
        <w:rPr>
          <w:rFonts w:ascii="Abadi" w:hAnsi="Abadi"/>
        </w:rPr>
        <w:t>and found them reflected. This supports the view that the supply was genuine.</w:t>
      </w:r>
    </w:p>
    <w:p w14:paraId="3E87AC23" w14:textId="77777777" w:rsidR="00084F8E" w:rsidRPr="006D0CDB" w:rsidRDefault="00000000">
      <w:pPr>
        <w:spacing w:after="120" w:line="276" w:lineRule="auto"/>
        <w:jc w:val="both"/>
        <w:rPr>
          <w:rFonts w:ascii="Abadi" w:hAnsi="Abadi"/>
        </w:rPr>
      </w:pPr>
      <w:r w:rsidRPr="006D0CDB">
        <w:rPr>
          <w:rFonts w:ascii="Abadi" w:hAnsi="Abadi"/>
        </w:rPr>
        <w:t>To close this matter, we recommend that management:</w:t>
      </w:r>
    </w:p>
    <w:p w14:paraId="75E3845E"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obtain a copy of the tax invoice from the vendor;</w:t>
      </w:r>
    </w:p>
    <w:p w14:paraId="3459F931"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place the related work order or approval on record; and</w:t>
      </w:r>
    </w:p>
    <w:p w14:paraId="7AB9AE21"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have the payment ratified by the Managing Committee.</w:t>
      </w:r>
    </w:p>
    <w:p w14:paraId="405A2651" w14:textId="7D4FDA92" w:rsidR="00084F8E" w:rsidRPr="006D0CDB" w:rsidRDefault="00000000">
      <w:pPr>
        <w:spacing w:after="120" w:line="276" w:lineRule="auto"/>
        <w:jc w:val="both"/>
        <w:rPr>
          <w:rFonts w:ascii="Abadi" w:hAnsi="Abadi"/>
        </w:rPr>
      </w:pPr>
      <w:r w:rsidRPr="006D0CDB">
        <w:rPr>
          <w:rFonts w:ascii="Abadi" w:hAnsi="Abadi"/>
        </w:rPr>
        <w:t>In future we will list such exceptions by transaction in the report</w:t>
      </w:r>
      <w:r w:rsidR="00725586">
        <w:rPr>
          <w:rFonts w:ascii="Abadi" w:hAnsi="Abadi"/>
        </w:rPr>
        <w:t xml:space="preserve"> so that members will have clarity.</w:t>
      </w:r>
    </w:p>
    <w:p w14:paraId="5D7CD4DB" w14:textId="77777777" w:rsidR="00084F8E" w:rsidRPr="006D0CDB" w:rsidRDefault="00000000">
      <w:pPr>
        <w:keepNext/>
        <w:pBdr>
          <w:bottom w:val="single" w:sz="4" w:space="2" w:color="8EA9DB"/>
        </w:pBdr>
        <w:spacing w:before="240" w:after="120"/>
        <w:rPr>
          <w:rFonts w:ascii="Abadi" w:hAnsi="Abadi"/>
        </w:rPr>
      </w:pPr>
      <w:r w:rsidRPr="006D0CDB">
        <w:rPr>
          <w:rFonts w:ascii="Abadi" w:hAnsi="Abadi"/>
          <w:b/>
          <w:bCs/>
          <w:sz w:val="23"/>
          <w:szCs w:val="23"/>
        </w:rPr>
        <w:t>(v) Capex and opex clubbed together</w:t>
      </w:r>
    </w:p>
    <w:p w14:paraId="18FEB0D3" w14:textId="77777777" w:rsidR="00084F8E" w:rsidRPr="006D0CDB" w:rsidRDefault="00000000">
      <w:pPr>
        <w:spacing w:after="120" w:line="276" w:lineRule="auto"/>
        <w:jc w:val="both"/>
        <w:rPr>
          <w:rFonts w:ascii="Abadi" w:hAnsi="Abadi"/>
        </w:rPr>
      </w:pPr>
      <w:r w:rsidRPr="006D0CDB">
        <w:rPr>
          <w:rFonts w:ascii="Abadi" w:hAnsi="Abadi"/>
        </w:rPr>
        <w:t>Expenses were grouped under their respective heads according to their nature. The lift batteries were treated as repairs and maintenance for these reasons:</w:t>
      </w:r>
    </w:p>
    <w:p w14:paraId="7DD24B44"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 xml:space="preserve">They </w:t>
      </w:r>
      <w:r w:rsidRPr="006D0CDB">
        <w:rPr>
          <w:rFonts w:ascii="Abadi" w:hAnsi="Abadi"/>
          <w:b/>
          <w:bCs/>
        </w:rPr>
        <w:t>replace existing worn-out components</w:t>
      </w:r>
      <w:r w:rsidRPr="006D0CDB">
        <w:rPr>
          <w:rFonts w:ascii="Abadi" w:hAnsi="Abadi"/>
        </w:rPr>
        <w:t xml:space="preserve"> and only keep the lift in its original working condition. They don't add capacity or extend the lift's life.</w:t>
      </w:r>
    </w:p>
    <w:p w14:paraId="079E6DE3"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Under AS 10, day-to-day servicing and replacement of consumable parts is charged to revenue.</w:t>
      </w:r>
    </w:p>
    <w:p w14:paraId="63EA4C71" w14:textId="77777777"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 xml:space="preserve">This matches the "current repairs" principle upheld by the Supreme Court in </w:t>
      </w:r>
      <w:r w:rsidRPr="006D0CDB">
        <w:rPr>
          <w:rFonts w:ascii="Abadi" w:hAnsi="Abadi"/>
          <w:i/>
          <w:iCs/>
        </w:rPr>
        <w:t>CIT v. Saravana Spinning Mills</w:t>
      </w:r>
      <w:r w:rsidRPr="006D0CDB">
        <w:rPr>
          <w:rFonts w:ascii="Abadi" w:hAnsi="Abadi"/>
        </w:rPr>
        <w:t xml:space="preserve"> (293 ITR 201): replacing an integral part of an existing asset, rather than an independent asset, is revenue expenditure.</w:t>
      </w:r>
    </w:p>
    <w:p w14:paraId="2E8386FC" w14:textId="77777777" w:rsidR="00084F8E" w:rsidRDefault="00000000">
      <w:pPr>
        <w:spacing w:after="120" w:line="276" w:lineRule="auto"/>
        <w:jc w:val="both"/>
        <w:rPr>
          <w:rFonts w:ascii="Abadi" w:hAnsi="Abadi"/>
        </w:rPr>
      </w:pPr>
      <w:r w:rsidRPr="006D0CDB">
        <w:rPr>
          <w:rFonts w:ascii="Abadi" w:hAnsi="Abadi"/>
        </w:rPr>
        <w:t xml:space="preserve">For more clarity, we are happy to present non-recurring repair costs, such as battery replacements, under a </w:t>
      </w:r>
      <w:r w:rsidRPr="006D0CDB">
        <w:rPr>
          <w:rFonts w:ascii="Abadi" w:hAnsi="Abadi"/>
          <w:b/>
          <w:bCs/>
        </w:rPr>
        <w:t>separate sub-head</w:t>
      </w:r>
      <w:r w:rsidRPr="006D0CDB">
        <w:rPr>
          <w:rFonts w:ascii="Abadi" w:hAnsi="Abadi"/>
        </w:rPr>
        <w:t xml:space="preserve"> in future. We also recommend that the MC adopt a written </w:t>
      </w:r>
      <w:r w:rsidRPr="006D0CDB">
        <w:rPr>
          <w:rFonts w:ascii="Abadi" w:hAnsi="Abadi"/>
          <w:b/>
          <w:bCs/>
        </w:rPr>
        <w:t>capitalisation policy</w:t>
      </w:r>
      <w:r w:rsidRPr="006D0CDB">
        <w:rPr>
          <w:rFonts w:ascii="Abadi" w:hAnsi="Abadi"/>
        </w:rPr>
        <w:t xml:space="preserve"> with a monetary threshold, so that capex and opex are classified the same way every year. We have taken note of the Committee's list of non-recurring expenditure for the maintenance review.</w:t>
      </w:r>
    </w:p>
    <w:p w14:paraId="1F733E60" w14:textId="6389D594" w:rsidR="00725586" w:rsidRDefault="00725586">
      <w:pPr>
        <w:spacing w:after="120" w:line="276" w:lineRule="auto"/>
        <w:jc w:val="both"/>
        <w:rPr>
          <w:rFonts w:ascii="Abadi" w:hAnsi="Abadi"/>
        </w:rPr>
      </w:pPr>
      <w:r>
        <w:rPr>
          <w:rFonts w:ascii="Abadi" w:hAnsi="Abadi"/>
        </w:rPr>
        <w:t>In addition, we have reclassified many items which were classified as opex into capex after our observations. Screenshot attached for your reference.</w:t>
      </w:r>
    </w:p>
    <w:p w14:paraId="03267D05" w14:textId="1C297D54" w:rsidR="00725586" w:rsidRDefault="00756C0D">
      <w:pPr>
        <w:spacing w:after="120" w:line="276" w:lineRule="auto"/>
        <w:jc w:val="both"/>
        <w:rPr>
          <w:rFonts w:ascii="Abadi" w:hAnsi="Abadi"/>
        </w:rPr>
      </w:pPr>
      <w:r w:rsidRPr="00756C0D">
        <w:rPr>
          <w:rFonts w:ascii="Abadi" w:hAnsi="Abadi"/>
          <w:noProof/>
        </w:rPr>
        <w:lastRenderedPageBreak/>
        <w:drawing>
          <wp:inline distT="0" distB="0" distL="0" distR="0" wp14:anchorId="7EB9C2DF" wp14:editId="30A53ABA">
            <wp:extent cx="5731510" cy="471170"/>
            <wp:effectExtent l="0" t="0" r="2540" b="5080"/>
            <wp:docPr id="87381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1224" name=""/>
                    <pic:cNvPicPr/>
                  </pic:nvPicPr>
                  <pic:blipFill>
                    <a:blip r:embed="rId5"/>
                    <a:stretch>
                      <a:fillRect/>
                    </a:stretch>
                  </pic:blipFill>
                  <pic:spPr>
                    <a:xfrm>
                      <a:off x="0" y="0"/>
                      <a:ext cx="5731510" cy="471170"/>
                    </a:xfrm>
                    <a:prstGeom prst="rect">
                      <a:avLst/>
                    </a:prstGeom>
                  </pic:spPr>
                </pic:pic>
              </a:graphicData>
            </a:graphic>
          </wp:inline>
        </w:drawing>
      </w:r>
    </w:p>
    <w:p w14:paraId="167984CF" w14:textId="77777777" w:rsidR="00725586" w:rsidRPr="006D0CDB" w:rsidRDefault="00725586">
      <w:pPr>
        <w:spacing w:after="120" w:line="276" w:lineRule="auto"/>
        <w:jc w:val="both"/>
        <w:rPr>
          <w:rFonts w:ascii="Abadi" w:hAnsi="Abadi"/>
        </w:rPr>
      </w:pPr>
    </w:p>
    <w:p w14:paraId="06DE35A9" w14:textId="77777777" w:rsidR="00084F8E" w:rsidRPr="006D0CDB" w:rsidRDefault="00000000">
      <w:pPr>
        <w:keepNext/>
        <w:pBdr>
          <w:bottom w:val="single" w:sz="4" w:space="2" w:color="8EA9DB"/>
        </w:pBdr>
        <w:spacing w:before="240" w:after="120"/>
        <w:rPr>
          <w:rFonts w:ascii="Abadi" w:hAnsi="Abadi"/>
        </w:rPr>
      </w:pPr>
      <w:r w:rsidRPr="006D0CDB">
        <w:rPr>
          <w:rFonts w:ascii="Abadi" w:hAnsi="Abadi"/>
          <w:b/>
          <w:bCs/>
          <w:sz w:val="23"/>
          <w:szCs w:val="23"/>
        </w:rPr>
        <w:t>Constraints faced during the audit</w:t>
      </w:r>
    </w:p>
    <w:p w14:paraId="15BD4C25" w14:textId="77777777" w:rsidR="00084F8E" w:rsidRPr="006D0CDB" w:rsidRDefault="00000000">
      <w:pPr>
        <w:spacing w:after="120" w:line="276" w:lineRule="auto"/>
        <w:jc w:val="both"/>
        <w:rPr>
          <w:rFonts w:ascii="Abadi" w:hAnsi="Abadi"/>
        </w:rPr>
      </w:pPr>
      <w:r w:rsidRPr="006D0CDB">
        <w:rPr>
          <w:rFonts w:ascii="Abadi" w:hAnsi="Abadi"/>
        </w:rPr>
        <w:t>The Committee should also know that during the year:</w:t>
      </w:r>
    </w:p>
    <w:p w14:paraId="1A1EE051" w14:textId="39CB6460" w:rsidR="00084F8E" w:rsidRPr="006D0CDB" w:rsidRDefault="00756C0D">
      <w:pPr>
        <w:pStyle w:val="ListParagraph"/>
        <w:numPr>
          <w:ilvl w:val="0"/>
          <w:numId w:val="2"/>
        </w:numPr>
        <w:spacing w:after="80" w:line="276" w:lineRule="auto"/>
        <w:jc w:val="both"/>
        <w:rPr>
          <w:rFonts w:ascii="Abadi" w:hAnsi="Abadi"/>
        </w:rPr>
      </w:pPr>
      <w:r>
        <w:rPr>
          <w:rFonts w:ascii="Abadi" w:hAnsi="Abadi"/>
        </w:rPr>
        <w:t>Manager was changed during the end of the year</w:t>
      </w:r>
      <w:r w:rsidRPr="006D0CDB">
        <w:rPr>
          <w:rFonts w:ascii="Abadi" w:hAnsi="Abadi"/>
        </w:rPr>
        <w:t>, which disrupted continuity of records;</w:t>
      </w:r>
    </w:p>
    <w:p w14:paraId="2D9031BC" w14:textId="11137A08" w:rsidR="00084F8E" w:rsidRPr="006D0CDB" w:rsidRDefault="00756C0D">
      <w:pPr>
        <w:pStyle w:val="ListParagraph"/>
        <w:numPr>
          <w:ilvl w:val="0"/>
          <w:numId w:val="2"/>
        </w:numPr>
        <w:spacing w:after="80" w:line="276" w:lineRule="auto"/>
        <w:jc w:val="both"/>
        <w:rPr>
          <w:rFonts w:ascii="Abadi" w:hAnsi="Abadi"/>
        </w:rPr>
      </w:pPr>
      <w:r>
        <w:rPr>
          <w:rFonts w:ascii="Abadi" w:hAnsi="Abadi"/>
        </w:rPr>
        <w:t>D</w:t>
      </w:r>
      <w:r w:rsidRPr="006D0CDB">
        <w:rPr>
          <w:rFonts w:ascii="Abadi" w:hAnsi="Abadi"/>
          <w:b/>
          <w:bCs/>
        </w:rPr>
        <w:t>edicated accounting support</w:t>
      </w:r>
      <w:r>
        <w:rPr>
          <w:rFonts w:ascii="Abadi" w:hAnsi="Abadi"/>
          <w:b/>
          <w:bCs/>
        </w:rPr>
        <w:t xml:space="preserve"> person quit the association during the end of the year</w:t>
      </w:r>
      <w:r w:rsidRPr="00756C0D">
        <w:rPr>
          <w:rFonts w:ascii="Abadi" w:hAnsi="Abadi"/>
        </w:rPr>
        <w:t xml:space="preserve"> </w:t>
      </w:r>
      <w:r w:rsidRPr="006D0CDB">
        <w:rPr>
          <w:rFonts w:ascii="Abadi" w:hAnsi="Abadi"/>
        </w:rPr>
        <w:t xml:space="preserve">which disrupted </w:t>
      </w:r>
      <w:r>
        <w:rPr>
          <w:rFonts w:ascii="Abadi" w:hAnsi="Abadi"/>
        </w:rPr>
        <w:t>proper maintenance</w:t>
      </w:r>
      <w:r w:rsidRPr="006D0CDB">
        <w:rPr>
          <w:rFonts w:ascii="Abadi" w:hAnsi="Abadi"/>
        </w:rPr>
        <w:t xml:space="preserve"> of records; and</w:t>
      </w:r>
    </w:p>
    <w:p w14:paraId="0FD0B684" w14:textId="48A2CAB1" w:rsidR="00084F8E" w:rsidRPr="006D0CDB" w:rsidRDefault="00000000">
      <w:pPr>
        <w:pStyle w:val="ListParagraph"/>
        <w:numPr>
          <w:ilvl w:val="0"/>
          <w:numId w:val="2"/>
        </w:numPr>
        <w:spacing w:after="80" w:line="276" w:lineRule="auto"/>
        <w:jc w:val="both"/>
        <w:rPr>
          <w:rFonts w:ascii="Abadi" w:hAnsi="Abadi"/>
        </w:rPr>
      </w:pPr>
      <w:r w:rsidRPr="006D0CDB">
        <w:rPr>
          <w:rFonts w:ascii="Abadi" w:hAnsi="Abadi"/>
        </w:rPr>
        <w:t xml:space="preserve">vouchers and supporting documents were </w:t>
      </w:r>
      <w:r w:rsidRPr="006D0CDB">
        <w:rPr>
          <w:rFonts w:ascii="Abadi" w:hAnsi="Abadi"/>
          <w:b/>
          <w:bCs/>
        </w:rPr>
        <w:t>not filed in date order</w:t>
      </w:r>
      <w:r w:rsidRPr="006D0CDB">
        <w:rPr>
          <w:rFonts w:ascii="Abadi" w:hAnsi="Abadi"/>
        </w:rPr>
        <w:t>, and some approvals were missing.</w:t>
      </w:r>
      <w:r w:rsidR="00756C0D">
        <w:rPr>
          <w:rFonts w:ascii="Abadi" w:hAnsi="Abadi"/>
        </w:rPr>
        <w:t xml:space="preserve"> Capex file to be kept separately with invoices so that it can be tracked easily.</w:t>
      </w:r>
    </w:p>
    <w:p w14:paraId="54F6A8CA" w14:textId="77777777" w:rsidR="00084F8E" w:rsidRPr="006D0CDB" w:rsidRDefault="00000000">
      <w:pPr>
        <w:spacing w:after="120" w:line="276" w:lineRule="auto"/>
        <w:jc w:val="both"/>
        <w:rPr>
          <w:rFonts w:ascii="Abadi" w:hAnsi="Abadi"/>
        </w:rPr>
      </w:pPr>
      <w:r w:rsidRPr="006D0CDB">
        <w:rPr>
          <w:rFonts w:ascii="Abadi" w:hAnsi="Abadi"/>
        </w:rPr>
        <w:t>This made our review considerably harder. Despite this, we completed our procedures through additional steps, including cross-checking against bank statements and GST returns. To prevent this in future, we recommend:</w:t>
      </w:r>
    </w:p>
    <w:p w14:paraId="15B62820" w14:textId="77777777" w:rsidR="00084F8E" w:rsidRPr="006D0CDB" w:rsidRDefault="00000000">
      <w:pPr>
        <w:pStyle w:val="ListParagraph"/>
        <w:numPr>
          <w:ilvl w:val="0"/>
          <w:numId w:val="3"/>
        </w:numPr>
        <w:spacing w:after="80" w:line="276" w:lineRule="auto"/>
        <w:rPr>
          <w:rFonts w:ascii="Abadi" w:hAnsi="Abadi"/>
        </w:rPr>
      </w:pPr>
      <w:r w:rsidRPr="006D0CDB">
        <w:rPr>
          <w:rFonts w:ascii="Abadi" w:hAnsi="Abadi"/>
        </w:rPr>
        <w:t>filing vouchers monthly in date order, with PO, invoice and approval attached to each payment;</w:t>
      </w:r>
    </w:p>
    <w:p w14:paraId="082E05D5" w14:textId="77777777" w:rsidR="00084F8E" w:rsidRPr="006D0CDB" w:rsidRDefault="00000000">
      <w:pPr>
        <w:pStyle w:val="ListParagraph"/>
        <w:numPr>
          <w:ilvl w:val="0"/>
          <w:numId w:val="3"/>
        </w:numPr>
        <w:spacing w:after="80" w:line="276" w:lineRule="auto"/>
        <w:rPr>
          <w:rFonts w:ascii="Abadi" w:hAnsi="Abadi"/>
        </w:rPr>
      </w:pPr>
      <w:r w:rsidRPr="006D0CDB">
        <w:rPr>
          <w:rFonts w:ascii="Abadi" w:hAnsi="Abadi"/>
        </w:rPr>
        <w:t>a formal handover checklist whenever the manager changes; and</w:t>
      </w:r>
    </w:p>
    <w:p w14:paraId="68A26450" w14:textId="02AC1F74" w:rsidR="00084F8E" w:rsidRPr="006D0CDB" w:rsidRDefault="00000000">
      <w:pPr>
        <w:pStyle w:val="ListParagraph"/>
        <w:numPr>
          <w:ilvl w:val="0"/>
          <w:numId w:val="3"/>
        </w:numPr>
        <w:spacing w:after="80" w:line="276" w:lineRule="auto"/>
        <w:rPr>
          <w:rFonts w:ascii="Abadi" w:hAnsi="Abadi"/>
        </w:rPr>
      </w:pPr>
      <w:r w:rsidRPr="006D0CDB">
        <w:rPr>
          <w:rFonts w:ascii="Abadi" w:hAnsi="Abadi"/>
        </w:rPr>
        <w:t>dedicated accounting support</w:t>
      </w:r>
    </w:p>
    <w:p w14:paraId="38EF4A26" w14:textId="77777777" w:rsidR="00084F8E" w:rsidRPr="006D0CDB" w:rsidRDefault="00000000">
      <w:pPr>
        <w:spacing w:before="120" w:after="240" w:line="276" w:lineRule="auto"/>
        <w:jc w:val="both"/>
        <w:rPr>
          <w:rFonts w:ascii="Abadi" w:hAnsi="Abadi"/>
        </w:rPr>
      </w:pPr>
      <w:r w:rsidRPr="006D0CDB">
        <w:rPr>
          <w:rFonts w:ascii="Abadi" w:hAnsi="Abadi"/>
        </w:rPr>
        <w:t>We trust this addresses the Committee's observations. We would be glad to meet the Committee to discuss any point further.</w:t>
      </w:r>
    </w:p>
    <w:p w14:paraId="4EFC5BA9" w14:textId="77777777" w:rsidR="00084F8E" w:rsidRPr="006D0CDB" w:rsidRDefault="00000000">
      <w:pPr>
        <w:rPr>
          <w:rFonts w:ascii="Abadi" w:hAnsi="Abadi"/>
        </w:rPr>
      </w:pPr>
      <w:r w:rsidRPr="006D0CDB">
        <w:rPr>
          <w:rFonts w:ascii="Abadi" w:hAnsi="Abadi"/>
        </w:rPr>
        <w:t>Yours faithfully,</w:t>
      </w:r>
    </w:p>
    <w:p w14:paraId="425543A7" w14:textId="48DFC23B" w:rsidR="00084F8E" w:rsidRPr="006D0CDB" w:rsidRDefault="00000000">
      <w:pPr>
        <w:rPr>
          <w:rFonts w:ascii="Abadi" w:hAnsi="Abadi"/>
        </w:rPr>
      </w:pPr>
      <w:r w:rsidRPr="006D0CDB">
        <w:rPr>
          <w:rFonts w:ascii="Abadi" w:hAnsi="Abadi"/>
        </w:rPr>
        <w:t xml:space="preserve">For </w:t>
      </w:r>
      <w:r w:rsidR="00AD4CB8">
        <w:rPr>
          <w:rFonts w:ascii="Abadi" w:hAnsi="Abadi"/>
          <w:b/>
          <w:bCs/>
        </w:rPr>
        <w:t>ANKH and Associates</w:t>
      </w:r>
    </w:p>
    <w:p w14:paraId="5C112EAA" w14:textId="77777777" w:rsidR="00084F8E" w:rsidRPr="006D0CDB" w:rsidRDefault="00000000">
      <w:pPr>
        <w:rPr>
          <w:rFonts w:ascii="Abadi" w:hAnsi="Abadi"/>
        </w:rPr>
      </w:pPr>
      <w:r w:rsidRPr="006D0CDB">
        <w:rPr>
          <w:rFonts w:ascii="Abadi" w:hAnsi="Abadi"/>
        </w:rPr>
        <w:t>Chartered Accountants</w:t>
      </w:r>
    </w:p>
    <w:p w14:paraId="1A381729" w14:textId="3055027D" w:rsidR="00084F8E" w:rsidRPr="006D0CDB" w:rsidRDefault="00000000">
      <w:pPr>
        <w:spacing w:after="600"/>
        <w:rPr>
          <w:rFonts w:ascii="Abadi" w:hAnsi="Abadi"/>
        </w:rPr>
      </w:pPr>
      <w:r w:rsidRPr="006D0CDB">
        <w:rPr>
          <w:rFonts w:ascii="Abadi" w:hAnsi="Abadi"/>
        </w:rPr>
        <w:t xml:space="preserve">FRN: </w:t>
      </w:r>
      <w:r w:rsidR="00AD4CB8" w:rsidRPr="00AD4CB8">
        <w:rPr>
          <w:rFonts w:ascii="Abadi" w:hAnsi="Abadi"/>
        </w:rPr>
        <w:t>015330S</w:t>
      </w:r>
    </w:p>
    <w:p w14:paraId="74DD4CD8" w14:textId="49ACBD22" w:rsidR="00084F8E" w:rsidRPr="006D0CDB" w:rsidRDefault="00AD4CB8">
      <w:pPr>
        <w:rPr>
          <w:rFonts w:ascii="Abadi" w:hAnsi="Abadi"/>
        </w:rPr>
      </w:pPr>
      <w:r>
        <w:rPr>
          <w:rFonts w:ascii="Abadi" w:hAnsi="Abadi"/>
        </w:rPr>
        <w:t>Prakash Adiga</w:t>
      </w:r>
    </w:p>
    <w:p w14:paraId="68D9E936" w14:textId="1B007F44" w:rsidR="00084F8E" w:rsidRPr="006D0CDB" w:rsidRDefault="00000000">
      <w:pPr>
        <w:rPr>
          <w:rFonts w:ascii="Abadi" w:hAnsi="Abadi"/>
        </w:rPr>
      </w:pPr>
      <w:r w:rsidRPr="006D0CDB">
        <w:rPr>
          <w:rFonts w:ascii="Abadi" w:hAnsi="Abadi"/>
        </w:rPr>
        <w:t xml:space="preserve">Partner, </w:t>
      </w:r>
      <w:r w:rsidR="00AD4CB8">
        <w:rPr>
          <w:rFonts w:ascii="Abadi" w:hAnsi="Abadi"/>
        </w:rPr>
        <w:br/>
      </w:r>
      <w:r w:rsidRPr="006D0CDB">
        <w:rPr>
          <w:rFonts w:ascii="Abadi" w:hAnsi="Abadi"/>
        </w:rPr>
        <w:t>M. No.</w:t>
      </w:r>
      <w:r w:rsidR="00AD4CB8">
        <w:rPr>
          <w:rFonts w:ascii="Abadi" w:hAnsi="Abadi"/>
        </w:rPr>
        <w:t xml:space="preserve">: </w:t>
      </w:r>
      <w:r w:rsidR="00AD4CB8" w:rsidRPr="00AD4CB8">
        <w:rPr>
          <w:rFonts w:ascii="Abadi" w:hAnsi="Abadi"/>
        </w:rPr>
        <w:t>216858</w:t>
      </w:r>
      <w:r w:rsidRPr="006D0CDB">
        <w:rPr>
          <w:rFonts w:ascii="Abadi" w:hAnsi="Abadi"/>
        </w:rPr>
        <w:t xml:space="preserve"> </w:t>
      </w:r>
    </w:p>
    <w:p w14:paraId="0AD4A871" w14:textId="576A7C57" w:rsidR="00084F8E" w:rsidRPr="006D0CDB" w:rsidRDefault="00000000">
      <w:pPr>
        <w:rPr>
          <w:rFonts w:ascii="Abadi" w:hAnsi="Abadi"/>
        </w:rPr>
      </w:pPr>
      <w:r w:rsidRPr="006D0CDB">
        <w:rPr>
          <w:rFonts w:ascii="Abadi" w:hAnsi="Abadi"/>
        </w:rPr>
        <w:t xml:space="preserve">Place: </w:t>
      </w:r>
      <w:r w:rsidR="00AD4CB8">
        <w:rPr>
          <w:rFonts w:ascii="Abadi" w:hAnsi="Abadi"/>
        </w:rPr>
        <w:t>Bengaluru</w:t>
      </w:r>
    </w:p>
    <w:sectPr w:rsidR="00084F8E" w:rsidRPr="006D0CDB">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359A9"/>
    <w:multiLevelType w:val="hybridMultilevel"/>
    <w:tmpl w:val="490CBF78"/>
    <w:lvl w:ilvl="0" w:tplc="F63CE8D4">
      <w:start w:val="1"/>
      <w:numFmt w:val="bullet"/>
      <w:lvlText w:val="●"/>
      <w:lvlJc w:val="left"/>
      <w:pPr>
        <w:ind w:left="720" w:hanging="360"/>
      </w:pPr>
    </w:lvl>
    <w:lvl w:ilvl="1" w:tplc="97F28934">
      <w:start w:val="1"/>
      <w:numFmt w:val="bullet"/>
      <w:lvlText w:val="○"/>
      <w:lvlJc w:val="left"/>
      <w:pPr>
        <w:ind w:left="1440" w:hanging="360"/>
      </w:pPr>
    </w:lvl>
    <w:lvl w:ilvl="2" w:tplc="F2A2D6F2">
      <w:start w:val="1"/>
      <w:numFmt w:val="bullet"/>
      <w:lvlText w:val="■"/>
      <w:lvlJc w:val="left"/>
      <w:pPr>
        <w:ind w:left="2160" w:hanging="360"/>
      </w:pPr>
    </w:lvl>
    <w:lvl w:ilvl="3" w:tplc="7B9EEE84">
      <w:start w:val="1"/>
      <w:numFmt w:val="bullet"/>
      <w:lvlText w:val="●"/>
      <w:lvlJc w:val="left"/>
      <w:pPr>
        <w:ind w:left="2880" w:hanging="360"/>
      </w:pPr>
    </w:lvl>
    <w:lvl w:ilvl="4" w:tplc="D4623084">
      <w:start w:val="1"/>
      <w:numFmt w:val="bullet"/>
      <w:lvlText w:val="○"/>
      <w:lvlJc w:val="left"/>
      <w:pPr>
        <w:ind w:left="3600" w:hanging="360"/>
      </w:pPr>
    </w:lvl>
    <w:lvl w:ilvl="5" w:tplc="8AA415BC">
      <w:start w:val="1"/>
      <w:numFmt w:val="bullet"/>
      <w:lvlText w:val="■"/>
      <w:lvlJc w:val="left"/>
      <w:pPr>
        <w:ind w:left="4320" w:hanging="360"/>
      </w:pPr>
    </w:lvl>
    <w:lvl w:ilvl="6" w:tplc="4684AAF8">
      <w:start w:val="1"/>
      <w:numFmt w:val="bullet"/>
      <w:lvlText w:val="●"/>
      <w:lvlJc w:val="left"/>
      <w:pPr>
        <w:ind w:left="5040" w:hanging="360"/>
      </w:pPr>
    </w:lvl>
    <w:lvl w:ilvl="7" w:tplc="98DA6644">
      <w:start w:val="1"/>
      <w:numFmt w:val="bullet"/>
      <w:lvlText w:val="●"/>
      <w:lvlJc w:val="left"/>
      <w:pPr>
        <w:ind w:left="5760" w:hanging="360"/>
      </w:pPr>
    </w:lvl>
    <w:lvl w:ilvl="8" w:tplc="A2065D0E">
      <w:start w:val="1"/>
      <w:numFmt w:val="bullet"/>
      <w:lvlText w:val="●"/>
      <w:lvlJc w:val="left"/>
      <w:pPr>
        <w:ind w:left="6480" w:hanging="360"/>
      </w:pPr>
    </w:lvl>
  </w:abstractNum>
  <w:abstractNum w:abstractNumId="1" w15:restartNumberingAfterBreak="0">
    <w:nsid w:val="3A936075"/>
    <w:multiLevelType w:val="hybridMultilevel"/>
    <w:tmpl w:val="4D9CEB08"/>
    <w:lvl w:ilvl="0" w:tplc="2BFCACC8">
      <w:start w:val="1"/>
      <w:numFmt w:val="bullet"/>
      <w:lvlText w:val="•"/>
      <w:lvlJc w:val="left"/>
      <w:pPr>
        <w:ind w:left="720" w:hanging="360"/>
      </w:pPr>
    </w:lvl>
    <w:lvl w:ilvl="1" w:tplc="1BC0D8BE">
      <w:numFmt w:val="decimal"/>
      <w:lvlText w:val=""/>
      <w:lvlJc w:val="left"/>
    </w:lvl>
    <w:lvl w:ilvl="2" w:tplc="68B8E2D6">
      <w:numFmt w:val="decimal"/>
      <w:lvlText w:val=""/>
      <w:lvlJc w:val="left"/>
    </w:lvl>
    <w:lvl w:ilvl="3" w:tplc="E368A7C8">
      <w:numFmt w:val="decimal"/>
      <w:lvlText w:val=""/>
      <w:lvlJc w:val="left"/>
    </w:lvl>
    <w:lvl w:ilvl="4" w:tplc="519C3884">
      <w:numFmt w:val="decimal"/>
      <w:lvlText w:val=""/>
      <w:lvlJc w:val="left"/>
    </w:lvl>
    <w:lvl w:ilvl="5" w:tplc="7736C5E6">
      <w:numFmt w:val="decimal"/>
      <w:lvlText w:val=""/>
      <w:lvlJc w:val="left"/>
    </w:lvl>
    <w:lvl w:ilvl="6" w:tplc="A72CBBA0">
      <w:numFmt w:val="decimal"/>
      <w:lvlText w:val=""/>
      <w:lvlJc w:val="left"/>
    </w:lvl>
    <w:lvl w:ilvl="7" w:tplc="58D08AC8">
      <w:numFmt w:val="decimal"/>
      <w:lvlText w:val=""/>
      <w:lvlJc w:val="left"/>
    </w:lvl>
    <w:lvl w:ilvl="8" w:tplc="995CE2EC">
      <w:numFmt w:val="decimal"/>
      <w:lvlText w:val=""/>
      <w:lvlJc w:val="left"/>
    </w:lvl>
  </w:abstractNum>
  <w:abstractNum w:abstractNumId="2" w15:restartNumberingAfterBreak="0">
    <w:nsid w:val="65AF41BD"/>
    <w:multiLevelType w:val="hybridMultilevel"/>
    <w:tmpl w:val="832E15AE"/>
    <w:lvl w:ilvl="0" w:tplc="35BA919A">
      <w:start w:val="1"/>
      <w:numFmt w:val="decimal"/>
      <w:lvlText w:val="%1."/>
      <w:lvlJc w:val="left"/>
      <w:pPr>
        <w:ind w:left="720" w:hanging="360"/>
      </w:pPr>
    </w:lvl>
    <w:lvl w:ilvl="1" w:tplc="4DB0B3F2">
      <w:numFmt w:val="decimal"/>
      <w:lvlText w:val=""/>
      <w:lvlJc w:val="left"/>
    </w:lvl>
    <w:lvl w:ilvl="2" w:tplc="D6E4AB40">
      <w:numFmt w:val="decimal"/>
      <w:lvlText w:val=""/>
      <w:lvlJc w:val="left"/>
    </w:lvl>
    <w:lvl w:ilvl="3" w:tplc="21587B8E">
      <w:numFmt w:val="decimal"/>
      <w:lvlText w:val=""/>
      <w:lvlJc w:val="left"/>
    </w:lvl>
    <w:lvl w:ilvl="4" w:tplc="5D76F0CE">
      <w:numFmt w:val="decimal"/>
      <w:lvlText w:val=""/>
      <w:lvlJc w:val="left"/>
    </w:lvl>
    <w:lvl w:ilvl="5" w:tplc="B5BEE7D0">
      <w:numFmt w:val="decimal"/>
      <w:lvlText w:val=""/>
      <w:lvlJc w:val="left"/>
    </w:lvl>
    <w:lvl w:ilvl="6" w:tplc="D4C649F8">
      <w:numFmt w:val="decimal"/>
      <w:lvlText w:val=""/>
      <w:lvlJc w:val="left"/>
    </w:lvl>
    <w:lvl w:ilvl="7" w:tplc="1AE2D0D8">
      <w:numFmt w:val="decimal"/>
      <w:lvlText w:val=""/>
      <w:lvlJc w:val="left"/>
    </w:lvl>
    <w:lvl w:ilvl="8" w:tplc="72BC14EA">
      <w:numFmt w:val="decimal"/>
      <w:lvlText w:val=""/>
      <w:lvlJc w:val="left"/>
    </w:lvl>
  </w:abstractNum>
  <w:num w:numId="1" w16cid:durableId="714543286">
    <w:abstractNumId w:val="0"/>
    <w:lvlOverride w:ilvl="0">
      <w:startOverride w:val="1"/>
    </w:lvlOverride>
  </w:num>
  <w:num w:numId="2" w16cid:durableId="110321017">
    <w:abstractNumId w:val="1"/>
    <w:lvlOverride w:ilvl="0">
      <w:startOverride w:val="1"/>
    </w:lvlOverride>
  </w:num>
  <w:num w:numId="3" w16cid:durableId="5678859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F8E"/>
    <w:rsid w:val="00084F8E"/>
    <w:rsid w:val="0036575F"/>
    <w:rsid w:val="00457371"/>
    <w:rsid w:val="004C3B90"/>
    <w:rsid w:val="006D0CDB"/>
    <w:rsid w:val="00725586"/>
    <w:rsid w:val="00756C0D"/>
    <w:rsid w:val="00AD4CB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EEBE"/>
  <w15:docId w15:val="{6280909B-29BF-4EB1-943A-18CB3F68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KM14376</cp:lastModifiedBy>
  <cp:revision>4</cp:revision>
  <dcterms:created xsi:type="dcterms:W3CDTF">2026-09-24T14:54:00Z</dcterms:created>
  <dcterms:modified xsi:type="dcterms:W3CDTF">2026-09-25T06:23:00Z</dcterms:modified>
</cp:coreProperties>
</file>