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sz w:val="46"/>
          <w:szCs w:val="46"/>
        </w:rPr>
      </w:pPr>
      <w:bookmarkStart w:colFirst="0" w:colLast="0" w:name="_dlifm6b8dp7s" w:id="0"/>
      <w:bookmarkEnd w:id="0"/>
      <w:r w:rsidDel="00000000" w:rsidR="00000000" w:rsidRPr="00000000">
        <w:rPr>
          <w:sz w:val="46"/>
          <w:szCs w:val="46"/>
          <w:rtl w:val="0"/>
        </w:rPr>
        <w:t xml:space="preserve">Shared Vision, Shared Success: Aligning Interests in Co-investment</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When you join with others to buy real estate, you want aligned investment interests. Otherwise, what seems smart becomes messy. Shared vision keeps everyone pulling in the same direction. </w:t>
      </w:r>
      <w:hyperlink r:id="rId6">
        <w:r w:rsidDel="00000000" w:rsidR="00000000" w:rsidRPr="00000000">
          <w:rPr>
            <w:color w:val="1155cc"/>
            <w:sz w:val="24"/>
            <w:szCs w:val="24"/>
            <w:u w:val="single"/>
            <w:rtl w:val="0"/>
          </w:rPr>
          <w:t xml:space="preserve">Aligned investment interests</w:t>
        </w:r>
      </w:hyperlink>
      <w:r w:rsidDel="00000000" w:rsidR="00000000" w:rsidRPr="00000000">
        <w:rPr>
          <w:sz w:val="24"/>
          <w:szCs w:val="24"/>
          <w:rtl w:val="0"/>
        </w:rPr>
        <w:t xml:space="preserve"> help avoid later conflict about exit timing, profits, or responsibilities.</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I’ve worked on real estate deals where co-investor alignment benefits made the difference between a pleasant partnership and constant tension. In Dubai, with fast-moving markets and evolving laws, setting alignment early is not optional—it’s essential.</w:t>
      </w:r>
    </w:p>
    <w:p w:rsidR="00000000" w:rsidDel="00000000" w:rsidP="00000000" w:rsidRDefault="00000000" w:rsidRPr="00000000" w14:paraId="00000004">
      <w:pPr>
        <w:spacing w:after="240" w:before="240" w:lineRule="auto"/>
        <w:rPr>
          <w:sz w:val="24"/>
          <w:szCs w:val="24"/>
        </w:rPr>
      </w:pPr>
      <w:r w:rsidDel="00000000" w:rsidR="00000000" w:rsidRPr="00000000">
        <w:rPr>
          <w:rtl w:val="0"/>
        </w:rPr>
      </w:r>
    </w:p>
    <w:p w:rsidR="00000000" w:rsidDel="00000000" w:rsidP="00000000" w:rsidRDefault="00000000" w:rsidRPr="00000000" w14:paraId="00000005">
      <w:pPr>
        <w:spacing w:after="240" w:before="240" w:lineRule="auto"/>
        <w:rPr>
          <w:sz w:val="24"/>
          <w:szCs w:val="24"/>
        </w:rPr>
      </w:pPr>
      <w:hyperlink r:id="rId7">
        <w:r w:rsidDel="00000000" w:rsidR="00000000" w:rsidRPr="00000000">
          <w:rPr>
            <w:b w:val="1"/>
            <w:color w:val="980000"/>
            <w:sz w:val="26"/>
            <w:szCs w:val="26"/>
            <w:u w:val="single"/>
            <w:rtl w:val="0"/>
          </w:rPr>
          <w:t xml:space="preserve">Start Investing</w:t>
        </w:r>
      </w:hyperlink>
      <w:r w:rsidDel="00000000" w:rsidR="00000000" w:rsidRPr="00000000">
        <w:rPr>
          <w:rtl w:val="0"/>
        </w:rPr>
      </w:r>
    </w:p>
    <w:p w:rsidR="00000000" w:rsidDel="00000000" w:rsidP="00000000" w:rsidRDefault="00000000" w:rsidRPr="00000000" w14:paraId="00000006">
      <w:pPr>
        <w:spacing w:after="240" w:before="240" w:lineRule="auto"/>
        <w:rPr>
          <w:sz w:val="24"/>
          <w:szCs w:val="24"/>
        </w:rPr>
      </w:pPr>
      <w:r w:rsidDel="00000000" w:rsidR="00000000" w:rsidRPr="00000000">
        <w:rPr>
          <w:rtl w:val="0"/>
        </w:rPr>
      </w:r>
    </w:p>
    <w:p w:rsidR="00000000" w:rsidDel="00000000" w:rsidP="00000000" w:rsidRDefault="00000000" w:rsidRPr="00000000" w14:paraId="00000007">
      <w:pPr>
        <w:spacing w:after="240" w:before="240" w:lineRule="auto"/>
        <w:rPr>
          <w:sz w:val="24"/>
          <w:szCs w:val="24"/>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sz w:val="34"/>
          <w:szCs w:val="34"/>
        </w:rPr>
      </w:pPr>
      <w:bookmarkStart w:colFirst="0" w:colLast="0" w:name="_n2i32zx7cenx" w:id="1"/>
      <w:bookmarkEnd w:id="1"/>
      <w:r w:rsidDel="00000000" w:rsidR="00000000" w:rsidRPr="00000000">
        <w:rPr>
          <w:sz w:val="34"/>
          <w:szCs w:val="34"/>
          <w:rtl w:val="0"/>
        </w:rPr>
        <w:t xml:space="preserve">What are aligned investment interests?</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Aligned investment interests mean everyone involved in the </w:t>
      </w:r>
      <w:hyperlink r:id="rId8">
        <w:r w:rsidDel="00000000" w:rsidR="00000000" w:rsidRPr="00000000">
          <w:rPr>
            <w:color w:val="1155cc"/>
            <w:sz w:val="24"/>
            <w:szCs w:val="24"/>
            <w:u w:val="single"/>
            <w:rtl w:val="0"/>
          </w:rPr>
          <w:t xml:space="preserve">co-investment</w:t>
        </w:r>
      </w:hyperlink>
      <w:r w:rsidDel="00000000" w:rsidR="00000000" w:rsidRPr="00000000">
        <w:rPr>
          <w:sz w:val="24"/>
          <w:szCs w:val="24"/>
          <w:rtl w:val="0"/>
        </w:rPr>
        <w:t xml:space="preserve"> has similar goals, understandings, risk tolerance, time horizons, and exit strategies. You and your co-investors might want profit, growth, or steady income. But if one wants a quick flip and another wants a long-term hold, misalignment is almost certain.</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In co-investment you share ownership, and you share reward and risk. If you also share the vision, success becomes realistic. If not, you face delays, legal friction, or losses.</w:t>
      </w:r>
    </w:p>
    <w:p w:rsidR="00000000" w:rsidDel="00000000" w:rsidP="00000000" w:rsidRDefault="00000000" w:rsidRPr="00000000" w14:paraId="0000000B">
      <w:pPr>
        <w:pStyle w:val="Heading2"/>
        <w:keepNext w:val="0"/>
        <w:keepLines w:val="0"/>
        <w:spacing w:after="80" w:lineRule="auto"/>
        <w:rPr>
          <w:sz w:val="34"/>
          <w:szCs w:val="34"/>
        </w:rPr>
      </w:pPr>
      <w:bookmarkStart w:colFirst="0" w:colLast="0" w:name="_kdxkycl4zn47" w:id="2"/>
      <w:bookmarkEnd w:id="2"/>
      <w:r w:rsidDel="00000000" w:rsidR="00000000" w:rsidRPr="00000000">
        <w:rPr>
          <w:sz w:val="34"/>
          <w:szCs w:val="34"/>
          <w:rtl w:val="0"/>
        </w:rPr>
        <w:t xml:space="preserve">Why shared vision in partnerships matters</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sz w:val="24"/>
          <w:szCs w:val="24"/>
          <w:rtl w:val="0"/>
        </w:rPr>
        <w:t xml:space="preserve">It builds trust. When everyone agrees on what success looks like, it's easier to move forward without suspicion.</w:t>
        <w:br w:type="textWrapping"/>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sz w:val="24"/>
          <w:szCs w:val="24"/>
          <w:rtl w:val="0"/>
        </w:rPr>
        <w:t xml:space="preserve">It cuts misunderstandings. You avoid “You said this, I thought that” issues.</w:t>
        <w:br w:type="textWrapping"/>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sz w:val="24"/>
          <w:szCs w:val="24"/>
          <w:rtl w:val="0"/>
        </w:rPr>
        <w:t xml:space="preserve">It helps strategy. Shared vision gives clarity on investment type (off-plan, ready property), location, quality, budget, and timeline.</w:t>
        <w:br w:type="textWrapping"/>
      </w:r>
    </w:p>
    <w:p w:rsidR="00000000" w:rsidDel="00000000" w:rsidP="00000000" w:rsidRDefault="00000000" w:rsidRPr="00000000" w14:paraId="0000000F">
      <w:pPr>
        <w:numPr>
          <w:ilvl w:val="0"/>
          <w:numId w:val="8"/>
        </w:numPr>
        <w:spacing w:after="240" w:before="0" w:beforeAutospacing="0" w:lineRule="auto"/>
        <w:ind w:left="720" w:hanging="360"/>
      </w:pPr>
      <w:r w:rsidDel="00000000" w:rsidR="00000000" w:rsidRPr="00000000">
        <w:rPr>
          <w:sz w:val="24"/>
          <w:szCs w:val="24"/>
          <w:rtl w:val="0"/>
        </w:rPr>
        <w:t xml:space="preserve">It supports smoother exits. If you all share exit goals, selling, refinancing, or distributing profits becomes easier.</w:t>
      </w:r>
    </w:p>
    <w:p w:rsidR="00000000" w:rsidDel="00000000" w:rsidP="00000000" w:rsidRDefault="00000000" w:rsidRPr="00000000" w14:paraId="00000010">
      <w:pPr>
        <w:pStyle w:val="Heading2"/>
        <w:keepNext w:val="0"/>
        <w:keepLines w:val="0"/>
        <w:spacing w:after="80" w:lineRule="auto"/>
        <w:rPr>
          <w:sz w:val="34"/>
          <w:szCs w:val="34"/>
        </w:rPr>
      </w:pPr>
      <w:bookmarkStart w:colFirst="0" w:colLast="0" w:name="_94n64uxara3o" w:id="3"/>
      <w:bookmarkEnd w:id="3"/>
      <w:r w:rsidDel="00000000" w:rsidR="00000000" w:rsidRPr="00000000">
        <w:rPr>
          <w:sz w:val="34"/>
          <w:szCs w:val="34"/>
          <w:rtl w:val="0"/>
        </w:rPr>
        <w:t xml:space="preserve">What co-investor alignment benefits look like</w:t>
      </w:r>
    </w:p>
    <w:p w:rsidR="00000000" w:rsidDel="00000000" w:rsidP="00000000" w:rsidRDefault="00000000" w:rsidRPr="00000000" w14:paraId="00000011">
      <w:pPr>
        <w:spacing w:after="240" w:before="240" w:lineRule="auto"/>
        <w:rPr/>
      </w:pPr>
      <w:r w:rsidDel="00000000" w:rsidR="00000000" w:rsidRPr="00000000">
        <w:rPr>
          <w:sz w:val="24"/>
          <w:szCs w:val="24"/>
          <w:rtl w:val="0"/>
        </w:rPr>
        <w:t xml:space="preserve">Here are some tangible perks when alignment works well:</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3.8472261893094"/>
        <w:gridCol w:w="6821.664584834314"/>
        <w:tblGridChange w:id="0">
          <w:tblGrid>
            <w:gridCol w:w="2203.8472261893094"/>
            <w:gridCol w:w="6821.66458483431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Benefit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Why it matters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Higher returns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Everyone makes decisions that boost profitability, not just one person risking more.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Lower chance of dispute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Aligned goals reduce conflict over decisions like maintenance, upgrades, or when to sell.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Better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When all co-investors agree, approvals, funding, and operations move faster.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Shared risk mitigation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If all know the risks, everyone can plan for contingencies.</w:t>
            </w:r>
          </w:p>
        </w:tc>
      </w:tr>
    </w:tbl>
    <w:p w:rsidR="00000000" w:rsidDel="00000000" w:rsidP="00000000" w:rsidRDefault="00000000" w:rsidRPr="00000000" w14:paraId="0000001C">
      <w:pPr>
        <w:spacing w:after="240" w:before="240" w:lineRule="auto"/>
        <w:rPr>
          <w:b w:val="1"/>
          <w:sz w:val="24"/>
          <w:szCs w:val="24"/>
        </w:rPr>
      </w:pPr>
      <w:r w:rsidDel="00000000" w:rsidR="00000000" w:rsidRPr="00000000">
        <w:rPr>
          <w:rtl w:val="0"/>
        </w:rPr>
        <w:t xml:space="preserve">In Dubai, where property values, transaction volume, and laws are changing, these benefits get amplified.</w: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sz w:val="34"/>
          <w:szCs w:val="34"/>
        </w:rPr>
      </w:pPr>
      <w:bookmarkStart w:colFirst="0" w:colLast="0" w:name="_f6w9cjjwo8qb" w:id="4"/>
      <w:bookmarkEnd w:id="4"/>
      <w:r w:rsidDel="00000000" w:rsidR="00000000" w:rsidRPr="00000000">
        <w:rPr>
          <w:sz w:val="34"/>
          <w:szCs w:val="34"/>
          <w:rtl w:val="0"/>
        </w:rPr>
        <w:t xml:space="preserve">Data &amp; law: Dubai backdrop</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To understand why </w:t>
      </w:r>
      <w:hyperlink r:id="rId9">
        <w:r w:rsidDel="00000000" w:rsidR="00000000" w:rsidRPr="00000000">
          <w:rPr>
            <w:color w:val="1155cc"/>
            <w:sz w:val="24"/>
            <w:szCs w:val="24"/>
            <w:u w:val="single"/>
            <w:rtl w:val="0"/>
          </w:rPr>
          <w:t xml:space="preserve">aligned investment interests matter in Dubai</w:t>
        </w:r>
      </w:hyperlink>
      <w:r w:rsidDel="00000000" w:rsidR="00000000" w:rsidRPr="00000000">
        <w:rPr>
          <w:sz w:val="24"/>
          <w:szCs w:val="24"/>
          <w:rtl w:val="0"/>
        </w:rPr>
        <w:t xml:space="preserve">, it helps to see the numbers and the legal framework.</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yhiw7p3xva7p" w:id="5"/>
      <w:bookmarkEnd w:id="5"/>
      <w:r w:rsidDel="00000000" w:rsidR="00000000" w:rsidRPr="00000000">
        <w:rPr>
          <w:b w:val="1"/>
          <w:color w:val="000000"/>
          <w:sz w:val="26"/>
          <w:szCs w:val="26"/>
          <w:rtl w:val="0"/>
        </w:rPr>
        <w:t xml:space="preserve">Key statistics</w:t>
      </w:r>
    </w:p>
    <w:p w:rsidR="00000000" w:rsidDel="00000000" w:rsidP="00000000" w:rsidRDefault="00000000" w:rsidRPr="00000000" w14:paraId="00000020">
      <w:pPr>
        <w:numPr>
          <w:ilvl w:val="0"/>
          <w:numId w:val="10"/>
        </w:numPr>
        <w:spacing w:after="0" w:afterAutospacing="0" w:before="240" w:lineRule="auto"/>
        <w:ind w:left="720" w:hanging="360"/>
      </w:pPr>
      <w:r w:rsidDel="00000000" w:rsidR="00000000" w:rsidRPr="00000000">
        <w:rPr>
          <w:sz w:val="24"/>
          <w:szCs w:val="24"/>
          <w:rtl w:val="0"/>
        </w:rPr>
        <w:t xml:space="preserve">In 2023 Dubai recorded </w:t>
      </w:r>
      <w:r w:rsidDel="00000000" w:rsidR="00000000" w:rsidRPr="00000000">
        <w:rPr>
          <w:b w:val="1"/>
          <w:sz w:val="24"/>
          <w:szCs w:val="24"/>
          <w:rtl w:val="0"/>
        </w:rPr>
        <w:t xml:space="preserve">166,400 real estate transactions</w:t>
      </w:r>
      <w:r w:rsidDel="00000000" w:rsidR="00000000" w:rsidRPr="00000000">
        <w:rPr>
          <w:rFonts w:ascii="Arial Unicode MS" w:cs="Arial Unicode MS" w:eastAsia="Arial Unicode MS" w:hAnsi="Arial Unicode MS"/>
          <w:sz w:val="24"/>
          <w:szCs w:val="24"/>
          <w:rtl w:val="0"/>
        </w:rPr>
        <w:t xml:space="preserve"> valued at AED 634 billion (≈ USD 172.6 billion).</w:t>
        <w:br w:type="textWrapping"/>
      </w:r>
    </w:p>
    <w:p w:rsidR="00000000" w:rsidDel="00000000" w:rsidP="00000000" w:rsidRDefault="00000000" w:rsidRPr="00000000" w14:paraId="00000021">
      <w:pPr>
        <w:numPr>
          <w:ilvl w:val="0"/>
          <w:numId w:val="10"/>
        </w:numPr>
        <w:spacing w:after="0" w:afterAutospacing="0" w:before="0" w:beforeAutospacing="0" w:lineRule="auto"/>
        <w:ind w:left="720" w:hanging="360"/>
      </w:pPr>
      <w:r w:rsidDel="00000000" w:rsidR="00000000" w:rsidRPr="00000000">
        <w:rPr>
          <w:sz w:val="24"/>
          <w:szCs w:val="24"/>
          <w:rtl w:val="0"/>
        </w:rPr>
        <w:t xml:space="preserve">Residential prices in prime areas have seen annual growth between </w:t>
      </w:r>
      <w:r w:rsidDel="00000000" w:rsidR="00000000" w:rsidRPr="00000000">
        <w:rPr>
          <w:b w:val="1"/>
          <w:sz w:val="24"/>
          <w:szCs w:val="24"/>
          <w:rtl w:val="0"/>
        </w:rPr>
        <w:t xml:space="preserve">11-21% for villas</w:t>
      </w:r>
      <w:r w:rsidDel="00000000" w:rsidR="00000000" w:rsidRPr="00000000">
        <w:rPr>
          <w:sz w:val="24"/>
          <w:szCs w:val="24"/>
          <w:rtl w:val="0"/>
        </w:rPr>
        <w:t xml:space="preserve"> and up to 11% for apartments.</w:t>
        <w:br w:type="textWrapping"/>
      </w:r>
    </w:p>
    <w:p w:rsidR="00000000" w:rsidDel="00000000" w:rsidP="00000000" w:rsidRDefault="00000000" w:rsidRPr="00000000" w14:paraId="00000022">
      <w:pPr>
        <w:numPr>
          <w:ilvl w:val="0"/>
          <w:numId w:val="10"/>
        </w:numPr>
        <w:spacing w:after="0" w:afterAutospacing="0" w:before="0" w:beforeAutospacing="0" w:lineRule="auto"/>
        <w:ind w:left="720" w:hanging="360"/>
      </w:pPr>
      <w:r w:rsidDel="00000000" w:rsidR="00000000" w:rsidRPr="00000000">
        <w:rPr>
          <w:sz w:val="24"/>
          <w:szCs w:val="24"/>
          <w:rtl w:val="0"/>
        </w:rPr>
        <w:t xml:space="preserve">Rental yields in affordable apartment segments (e.g., International City, Dubai Investment Park, Discovery Gardens) hover between </w:t>
      </w:r>
      <w:r w:rsidDel="00000000" w:rsidR="00000000" w:rsidRPr="00000000">
        <w:rPr>
          <w:b w:val="1"/>
          <w:sz w:val="24"/>
          <w:szCs w:val="24"/>
          <w:rtl w:val="0"/>
        </w:rPr>
        <w:t xml:space="preserve">9 and 11%.</w:t>
        <w:br w:type="textWrapping"/>
      </w:r>
    </w:p>
    <w:p w:rsidR="00000000" w:rsidDel="00000000" w:rsidP="00000000" w:rsidRDefault="00000000" w:rsidRPr="00000000" w14:paraId="00000023">
      <w:pPr>
        <w:numPr>
          <w:ilvl w:val="0"/>
          <w:numId w:val="10"/>
        </w:numPr>
        <w:spacing w:after="240" w:before="0" w:beforeAutospacing="0" w:lineRule="auto"/>
        <w:ind w:left="720" w:hanging="360"/>
      </w:pPr>
      <w:r w:rsidDel="00000000" w:rsidR="00000000" w:rsidRPr="00000000">
        <w:rPr>
          <w:sz w:val="24"/>
          <w:szCs w:val="24"/>
          <w:rtl w:val="0"/>
        </w:rPr>
        <w:t xml:space="preserve">Luxury villas (e.g., Palm Jumeirah, DAMAC Hills) show ROIs of about </w:t>
      </w:r>
      <w:r w:rsidDel="00000000" w:rsidR="00000000" w:rsidRPr="00000000">
        <w:rPr>
          <w:b w:val="1"/>
          <w:sz w:val="24"/>
          <w:szCs w:val="24"/>
          <w:rtl w:val="0"/>
        </w:rPr>
        <w:t xml:space="preserve">4-6%</w:t>
      </w:r>
      <w:r w:rsidDel="00000000" w:rsidR="00000000" w:rsidRPr="00000000">
        <w:rPr>
          <w:sz w:val="24"/>
          <w:szCs w:val="24"/>
          <w:rtl w:val="0"/>
        </w:rPr>
        <w:t xml:space="preserve"> depending on location and price tier.</w:t>
      </w:r>
    </w:p>
    <w:p w:rsidR="00000000" w:rsidDel="00000000" w:rsidP="00000000" w:rsidRDefault="00000000" w:rsidRPr="00000000" w14:paraId="00000024">
      <w:pPr>
        <w:pStyle w:val="Heading3"/>
        <w:keepNext w:val="0"/>
        <w:keepLines w:val="0"/>
        <w:spacing w:before="280" w:lineRule="auto"/>
        <w:rPr>
          <w:color w:val="000000"/>
          <w:sz w:val="26"/>
          <w:szCs w:val="26"/>
        </w:rPr>
      </w:pPr>
      <w:bookmarkStart w:colFirst="0" w:colLast="0" w:name="_all9yxu5dqja" w:id="6"/>
      <w:bookmarkEnd w:id="6"/>
      <w:r w:rsidDel="00000000" w:rsidR="00000000" w:rsidRPr="00000000">
        <w:rPr>
          <w:color w:val="000000"/>
          <w:sz w:val="26"/>
          <w:szCs w:val="26"/>
          <w:rtl w:val="0"/>
        </w:rPr>
        <w:t xml:space="preserve">Legal framework: co-ownership and jointly owned property in Dubai</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sz w:val="24"/>
          <w:szCs w:val="24"/>
          <w:rtl w:val="0"/>
        </w:rPr>
        <w:t xml:space="preserve">Law No. (6) of 2019 Concerning Ownership of Jointly Owned Real Property</w:t>
      </w:r>
      <w:r w:rsidDel="00000000" w:rsidR="00000000" w:rsidRPr="00000000">
        <w:rPr>
          <w:sz w:val="24"/>
          <w:szCs w:val="24"/>
          <w:rtl w:val="0"/>
        </w:rPr>
        <w:t xml:space="preserve"> sets rules for jointly owned properties: registration, owners’ committees, maintenance responsibilities, etc.</w:t>
        <w:br w:type="textWrapping"/>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sz w:val="24"/>
          <w:szCs w:val="24"/>
          <w:rtl w:val="0"/>
        </w:rPr>
        <w:t xml:space="preserve">It requires developers to set up building management systems (for jointly owned properties) once a certain threshold of units is sold and to support transparency in shared costs, common area maintenance, and ownership details.</w:t>
        <w:br w:type="textWrapping"/>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sz w:val="24"/>
          <w:szCs w:val="24"/>
          <w:rtl w:val="0"/>
        </w:rPr>
        <w:t xml:space="preserve">Under this law, any subdivision of units among co-owners needs approval from the </w:t>
      </w:r>
      <w:hyperlink r:id="rId10">
        <w:r w:rsidDel="00000000" w:rsidR="00000000" w:rsidRPr="00000000">
          <w:rPr>
            <w:color w:val="1155cc"/>
            <w:sz w:val="24"/>
            <w:szCs w:val="24"/>
            <w:u w:val="single"/>
            <w:rtl w:val="0"/>
          </w:rPr>
          <w:t xml:space="preserve">Dubai Land Department (DLD)</w:t>
        </w:r>
      </w:hyperlink>
      <w:r w:rsidDel="00000000" w:rsidR="00000000" w:rsidRPr="00000000">
        <w:rPr>
          <w:sz w:val="24"/>
          <w:szCs w:val="24"/>
          <w:rtl w:val="0"/>
        </w:rPr>
        <w:t xml:space="preserve">, and owners must pay registration fees proportional to ownership share.</w:t>
        <w:br w:type="textWrapping"/>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sz w:val="24"/>
          <w:szCs w:val="24"/>
          <w:rtl w:val="0"/>
        </w:rPr>
        <w:t xml:space="preserve">A legal co-ownership agreement is often advised. It clarifies shares, decision-making, exit strategy, rights, and obligations. Without it, disputes are harder to resolve.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These laws reinforce that aligned investment interests are not just good practice—they reduce legal risk in Dubai co-investment.</w:t>
      </w:r>
    </w:p>
    <w:p w:rsidR="00000000" w:rsidDel="00000000" w:rsidP="00000000" w:rsidRDefault="00000000" w:rsidRPr="00000000" w14:paraId="0000002A">
      <w:pPr>
        <w:pStyle w:val="Heading2"/>
        <w:keepNext w:val="0"/>
        <w:keepLines w:val="0"/>
        <w:spacing w:after="80" w:lineRule="auto"/>
        <w:rPr>
          <w:sz w:val="34"/>
          <w:szCs w:val="34"/>
        </w:rPr>
      </w:pPr>
      <w:bookmarkStart w:colFirst="0" w:colLast="0" w:name="_angm96pmvmgh" w:id="7"/>
      <w:bookmarkEnd w:id="7"/>
      <w:r w:rsidDel="00000000" w:rsidR="00000000" w:rsidRPr="00000000">
        <w:rPr>
          <w:sz w:val="34"/>
          <w:szCs w:val="34"/>
          <w:rtl w:val="0"/>
        </w:rPr>
        <w:t xml:space="preserve">How to ensure alignment with co-investors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Here are steps you can take to make sure co-investor alignment benefits are real, not just hoped for.</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b w:val="1"/>
          <w:sz w:val="24"/>
          <w:szCs w:val="24"/>
          <w:rtl w:val="0"/>
        </w:rPr>
        <w:t xml:space="preserve">Clarify goals early</w:t>
        <w:br w:type="textWrapping"/>
      </w:r>
      <w:r w:rsidDel="00000000" w:rsidR="00000000" w:rsidRPr="00000000">
        <w:rPr>
          <w:sz w:val="24"/>
          <w:szCs w:val="24"/>
          <w:rtl w:val="0"/>
        </w:rPr>
        <w:t xml:space="preserve">All of you should talk about what you want: short-term profit, cash flow, capital growth, luxury or mid-tier property, etc.</w:t>
        <w:br w:type="textWrapping"/>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Agree on risks and contributions</w:t>
        <w:br w:type="textWrapping"/>
      </w:r>
      <w:r w:rsidDel="00000000" w:rsidR="00000000" w:rsidRPr="00000000">
        <w:rPr>
          <w:sz w:val="24"/>
          <w:szCs w:val="24"/>
          <w:rtl w:val="0"/>
        </w:rPr>
        <w:t xml:space="preserve">Who contributes what (money, time, contacts)? Who handles what tasks (property management, maintenance)? If someone lags, resentment grows.</w:t>
        <w:br w:type="textWrapping"/>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Set an exit strategy from day one</w:t>
        <w:br w:type="textWrapping"/>
      </w:r>
      <w:r w:rsidDel="00000000" w:rsidR="00000000" w:rsidRPr="00000000">
        <w:rPr>
          <w:sz w:val="24"/>
          <w:szCs w:val="24"/>
          <w:rtl w:val="0"/>
        </w:rPr>
        <w:t xml:space="preserve">Will you sell after 3 years or 10? What if one partner wants out early? How will profits be divided?</w:t>
        <w:br w:type="textWrapping"/>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Put everything in writing</w:t>
        <w:br w:type="textWrapping"/>
      </w:r>
      <w:r w:rsidDel="00000000" w:rsidR="00000000" w:rsidRPr="00000000">
        <w:rPr>
          <w:sz w:val="24"/>
          <w:szCs w:val="24"/>
          <w:rtl w:val="0"/>
        </w:rPr>
        <w:t xml:space="preserve">Co-ownership agreement, shared business plan, financial forecasts, responsibilities. Legal enforceability matters in Dubai, under joint ownership laws.</w:t>
        <w:br w:type="textWrapping"/>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Regular check-ins</w:t>
        <w:br w:type="textWrapping"/>
      </w:r>
      <w:r w:rsidDel="00000000" w:rsidR="00000000" w:rsidRPr="00000000">
        <w:rPr>
          <w:sz w:val="24"/>
          <w:szCs w:val="24"/>
          <w:rtl w:val="0"/>
        </w:rPr>
        <w:t xml:space="preserve">Meetings or updates help ensure everyone remains aligned. Markets shift, personal situations change. It is beneficial to identify misalignment at an early stage.</w:t>
        <w:br w:type="textWrapping"/>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Use benchmarks and metrics</w:t>
        <w:br w:type="textWrapping"/>
      </w:r>
      <w:r w:rsidDel="00000000" w:rsidR="00000000" w:rsidRPr="00000000">
        <w:rPr>
          <w:sz w:val="24"/>
          <w:szCs w:val="24"/>
          <w:rtl w:val="0"/>
        </w:rPr>
        <w:t xml:space="preserve">Track ROI, rental yield, and maintenance cost vs budget. If numbers deviate, discuss. Knowing numbers keeps alignment grounded.</w:t>
      </w:r>
    </w:p>
    <w:p w:rsidR="00000000" w:rsidDel="00000000" w:rsidP="00000000" w:rsidRDefault="00000000" w:rsidRPr="00000000" w14:paraId="00000032">
      <w:pPr>
        <w:numPr>
          <w:ilvl w:val="0"/>
          <w:numId w:val="6"/>
        </w:numPr>
        <w:spacing w:after="240" w:before="0" w:beforeAutospacing="0" w:lineRule="auto"/>
        <w:ind w:left="720" w:hanging="360"/>
      </w:pPr>
      <w:r w:rsidDel="00000000" w:rsidR="00000000" w:rsidRPr="00000000">
        <w:rPr>
          <w:b w:val="1"/>
          <w:sz w:val="24"/>
          <w:szCs w:val="24"/>
          <w:rtl w:val="0"/>
        </w:rPr>
        <w:t xml:space="preserve">Choose partners you can trust.</w:t>
        <w:br w:type="textWrapping"/>
      </w:r>
      <w:r w:rsidDel="00000000" w:rsidR="00000000" w:rsidRPr="00000000">
        <w:rPr>
          <w:sz w:val="24"/>
          <w:szCs w:val="24"/>
          <w:rtl w:val="0"/>
        </w:rPr>
        <w:t xml:space="preserve">Trust, transparency, and compatible values (e.g., attitude to risk) are as important as financial capacity.</w:t>
      </w:r>
    </w:p>
    <w:p w:rsidR="00000000" w:rsidDel="00000000" w:rsidP="00000000" w:rsidRDefault="00000000" w:rsidRPr="00000000" w14:paraId="00000033">
      <w:pPr>
        <w:pStyle w:val="Heading2"/>
        <w:keepNext w:val="0"/>
        <w:keepLines w:val="0"/>
        <w:spacing w:after="80" w:lineRule="auto"/>
        <w:rPr>
          <w:sz w:val="34"/>
          <w:szCs w:val="34"/>
        </w:rPr>
      </w:pPr>
      <w:bookmarkStart w:colFirst="0" w:colLast="0" w:name="_hhxmflf8qy81" w:id="8"/>
      <w:bookmarkEnd w:id="8"/>
      <w:r w:rsidDel="00000000" w:rsidR="00000000" w:rsidRPr="00000000">
        <w:rPr>
          <w:sz w:val="34"/>
          <w:szCs w:val="34"/>
          <w:rtl w:val="0"/>
        </w:rPr>
        <w:t xml:space="preserve">Real-life cases of alignment (lessons)</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From projects I’ve been in, here are a couple of lessons:</w:t>
      </w:r>
    </w:p>
    <w:p w:rsidR="00000000" w:rsidDel="00000000" w:rsidP="00000000" w:rsidRDefault="00000000" w:rsidRPr="00000000" w14:paraId="00000035">
      <w:pPr>
        <w:numPr>
          <w:ilvl w:val="0"/>
          <w:numId w:val="11"/>
        </w:numPr>
        <w:spacing w:after="0" w:afterAutospacing="0" w:before="240" w:lineRule="auto"/>
        <w:ind w:left="720" w:hanging="360"/>
      </w:pPr>
      <w:r w:rsidDel="00000000" w:rsidR="00000000" w:rsidRPr="00000000">
        <w:rPr>
          <w:sz w:val="24"/>
          <w:szCs w:val="24"/>
          <w:rtl w:val="0"/>
        </w:rPr>
        <w:t xml:space="preserve">In one co-investment we shared a villa in an off-plan project. One investor thought finishing the handover quickly would let us resell; another wanted to hold for rental income. Because we had aligned investment interests up front, we agreed to hold for at least 5 years, then assess resale. That avoided pressure to sell early when the market was just stabilising.</w:t>
        <w:br w:type="textWrapping"/>
      </w:r>
    </w:p>
    <w:p w:rsidR="00000000" w:rsidDel="00000000" w:rsidP="00000000" w:rsidRDefault="00000000" w:rsidRPr="00000000" w14:paraId="00000036">
      <w:pPr>
        <w:numPr>
          <w:ilvl w:val="0"/>
          <w:numId w:val="11"/>
        </w:numPr>
        <w:spacing w:after="240" w:before="0" w:beforeAutospacing="0" w:lineRule="auto"/>
        <w:ind w:left="720" w:hanging="360"/>
      </w:pPr>
      <w:r w:rsidDel="00000000" w:rsidR="00000000" w:rsidRPr="00000000">
        <w:rPr>
          <w:sz w:val="24"/>
          <w:szCs w:val="24"/>
          <w:rtl w:val="0"/>
        </w:rPr>
        <w:t xml:space="preserve">In another, a group pooled to buy several apartments. We agreed on who would handle tenant sourcing, who would cover maintenance, and who would track legal compliance. When a law changed about jointly owned property registrations, it didn’t mess us up because our agreement anticipated legal costs and negotiation.</w:t>
      </w:r>
    </w:p>
    <w:p w:rsidR="00000000" w:rsidDel="00000000" w:rsidP="00000000" w:rsidRDefault="00000000" w:rsidRPr="00000000" w14:paraId="00000037">
      <w:pPr>
        <w:pStyle w:val="Heading2"/>
        <w:keepNext w:val="0"/>
        <w:keepLines w:val="0"/>
        <w:spacing w:after="80" w:lineRule="auto"/>
        <w:rPr>
          <w:sz w:val="34"/>
          <w:szCs w:val="34"/>
        </w:rPr>
      </w:pPr>
      <w:bookmarkStart w:colFirst="0" w:colLast="0" w:name="_4bglnrvop8yp" w:id="9"/>
      <w:bookmarkEnd w:id="9"/>
      <w:r w:rsidDel="00000000" w:rsidR="00000000" w:rsidRPr="00000000">
        <w:rPr>
          <w:sz w:val="34"/>
          <w:szCs w:val="34"/>
          <w:rtl w:val="0"/>
        </w:rPr>
        <w:t xml:space="preserve">Risks when alignment is missing</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If you skip alignment, here’s what can go wrong:</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sz w:val="24"/>
          <w:szCs w:val="24"/>
          <w:rtl w:val="0"/>
        </w:rPr>
        <w:t xml:space="preserve">One partner wants to sell, another doesn’t → conflict over timing, pricing, or even refusal to sell.</w:t>
        <w:br w:type="textWrapping"/>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Misunderstanding about profit share or cost share → disputes or legal costs.</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One party not fulfilling obligations (e.g., maintenance, payment) → risk to property value, tenant satisfaction.</w:t>
        <w:br w:type="textWrapping"/>
      </w:r>
    </w:p>
    <w:p w:rsidR="00000000" w:rsidDel="00000000" w:rsidP="00000000" w:rsidRDefault="00000000" w:rsidRPr="00000000" w14:paraId="0000003C">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Legal risk if you didn’t register co-ownership properly under Dubai laws → penalties, inability to enforce rights.</w:t>
      </w:r>
    </w:p>
    <w:p w:rsidR="00000000" w:rsidDel="00000000" w:rsidP="00000000" w:rsidRDefault="00000000" w:rsidRPr="00000000" w14:paraId="0000003D">
      <w:pPr>
        <w:pStyle w:val="Heading2"/>
        <w:keepNext w:val="0"/>
        <w:keepLines w:val="0"/>
        <w:spacing w:after="80" w:lineRule="auto"/>
        <w:rPr>
          <w:sz w:val="34"/>
          <w:szCs w:val="34"/>
        </w:rPr>
      </w:pPr>
      <w:bookmarkStart w:colFirst="0" w:colLast="0" w:name="_gnkgx7mr0o2b" w:id="10"/>
      <w:bookmarkEnd w:id="10"/>
      <w:r w:rsidDel="00000000" w:rsidR="00000000" w:rsidRPr="00000000">
        <w:rPr>
          <w:sz w:val="34"/>
          <w:szCs w:val="34"/>
          <w:rtl w:val="0"/>
        </w:rPr>
        <w:t xml:space="preserve">Choosing the right co-investment setup</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To </w:t>
      </w:r>
      <w:hyperlink r:id="rId11">
        <w:r w:rsidDel="00000000" w:rsidR="00000000" w:rsidRPr="00000000">
          <w:rPr>
            <w:color w:val="1155cc"/>
            <w:sz w:val="24"/>
            <w:szCs w:val="24"/>
            <w:u w:val="single"/>
            <w:rtl w:val="0"/>
          </w:rPr>
          <w:t xml:space="preserve">align investment interests</w:t>
        </w:r>
      </w:hyperlink>
      <w:r w:rsidDel="00000000" w:rsidR="00000000" w:rsidRPr="00000000">
        <w:rPr>
          <w:sz w:val="24"/>
          <w:szCs w:val="24"/>
          <w:rtl w:val="0"/>
        </w:rPr>
        <w:t xml:space="preserve">, pick the setup carefully:</w:t>
      </w:r>
    </w:p>
    <w:p w:rsidR="00000000" w:rsidDel="00000000" w:rsidP="00000000" w:rsidRDefault="00000000" w:rsidRPr="00000000" w14:paraId="0000003F">
      <w:pPr>
        <w:numPr>
          <w:ilvl w:val="0"/>
          <w:numId w:val="7"/>
        </w:numPr>
        <w:spacing w:after="0" w:afterAutospacing="0" w:before="240" w:lineRule="auto"/>
        <w:ind w:left="720" w:hanging="360"/>
      </w:pPr>
      <w:r w:rsidDel="00000000" w:rsidR="00000000" w:rsidRPr="00000000">
        <w:rPr>
          <w:b w:val="1"/>
          <w:sz w:val="24"/>
          <w:szCs w:val="24"/>
          <w:rtl w:val="0"/>
        </w:rPr>
        <w:t xml:space="preserve">Equal shares vs disproportionate investment</w:t>
      </w:r>
      <w:r w:rsidDel="00000000" w:rsidR="00000000" w:rsidRPr="00000000">
        <w:rPr>
          <w:sz w:val="24"/>
          <w:szCs w:val="24"/>
          <w:rtl w:val="0"/>
        </w:rPr>
        <w:t xml:space="preserve">: If one invests more, you’ll need to reflect that in profit shares.</w:t>
        <w:br w:type="textWrapping"/>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b w:val="1"/>
          <w:sz w:val="24"/>
          <w:szCs w:val="24"/>
          <w:rtl w:val="0"/>
        </w:rPr>
        <w:t xml:space="preserve">Off-plan vs ready property</w:t>
      </w:r>
      <w:r w:rsidDel="00000000" w:rsidR="00000000" w:rsidRPr="00000000">
        <w:rPr>
          <w:sz w:val="24"/>
          <w:szCs w:val="24"/>
          <w:rtl w:val="0"/>
        </w:rPr>
        <w:t xml:space="preserve">: Off-plan can have higher risk and longer holds; ready property gives immediate occupancy/rental but may require more maintenance.</w:t>
        <w:br w:type="textWrapping"/>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b w:val="1"/>
          <w:sz w:val="24"/>
          <w:szCs w:val="24"/>
          <w:rtl w:val="0"/>
        </w:rPr>
        <w:t xml:space="preserve">Commercial vs residential vs mixed-use</w:t>
      </w:r>
      <w:r w:rsidDel="00000000" w:rsidR="00000000" w:rsidRPr="00000000">
        <w:rPr>
          <w:sz w:val="24"/>
          <w:szCs w:val="24"/>
          <w:rtl w:val="0"/>
        </w:rPr>
        <w:t xml:space="preserve">: Commercial often has longer leases and steadier income; residential may have higher demand but more turnover.</w:t>
        <w:br w:type="textWrapping"/>
      </w:r>
    </w:p>
    <w:p w:rsidR="00000000" w:rsidDel="00000000" w:rsidP="00000000" w:rsidRDefault="00000000" w:rsidRPr="00000000" w14:paraId="00000042">
      <w:pPr>
        <w:numPr>
          <w:ilvl w:val="0"/>
          <w:numId w:val="7"/>
        </w:numPr>
        <w:spacing w:after="240" w:before="0" w:beforeAutospacing="0" w:lineRule="auto"/>
        <w:ind w:left="720" w:hanging="360"/>
      </w:pPr>
      <w:r w:rsidDel="00000000" w:rsidR="00000000" w:rsidRPr="00000000">
        <w:rPr>
          <w:b w:val="1"/>
          <w:sz w:val="24"/>
          <w:szCs w:val="24"/>
          <w:rtl w:val="0"/>
        </w:rPr>
        <w:t xml:space="preserve">Legal structure</w:t>
      </w:r>
      <w:r w:rsidDel="00000000" w:rsidR="00000000" w:rsidRPr="00000000">
        <w:rPr>
          <w:sz w:val="24"/>
          <w:szCs w:val="24"/>
          <w:rtl w:val="0"/>
        </w:rPr>
        <w:t xml:space="preserve">: Co-ownership, partnership, special purpose vehicle (SPV), trust. Dubai’s law on jointly owned property (Law 6-2019) supports co-ownership, but you need contracts.</w:t>
      </w:r>
    </w:p>
    <w:p w:rsidR="00000000" w:rsidDel="00000000" w:rsidP="00000000" w:rsidRDefault="00000000" w:rsidRPr="00000000" w14:paraId="00000043">
      <w:pPr>
        <w:pStyle w:val="Heading2"/>
        <w:keepNext w:val="0"/>
        <w:keepLines w:val="0"/>
        <w:spacing w:after="80" w:lineRule="auto"/>
        <w:rPr>
          <w:sz w:val="34"/>
          <w:szCs w:val="34"/>
        </w:rPr>
      </w:pPr>
      <w:bookmarkStart w:colFirst="0" w:colLast="0" w:name="_kewgaeeq6zun" w:id="11"/>
      <w:bookmarkEnd w:id="11"/>
      <w:r w:rsidDel="00000000" w:rsidR="00000000" w:rsidRPr="00000000">
        <w:rPr>
          <w:sz w:val="34"/>
          <w:szCs w:val="34"/>
          <w:rtl w:val="0"/>
        </w:rPr>
        <w:t xml:space="preserve">Shared Vision in Partnerships: Key Subheadings</w:t>
      </w:r>
    </w:p>
    <w:p w:rsidR="00000000" w:rsidDel="00000000" w:rsidP="00000000" w:rsidRDefault="00000000" w:rsidRPr="00000000" w14:paraId="00000044">
      <w:pPr>
        <w:pStyle w:val="Heading3"/>
        <w:keepNext w:val="0"/>
        <w:keepLines w:val="0"/>
        <w:spacing w:before="280" w:lineRule="auto"/>
        <w:rPr>
          <w:color w:val="000000"/>
          <w:sz w:val="26"/>
          <w:szCs w:val="26"/>
        </w:rPr>
      </w:pPr>
      <w:bookmarkStart w:colFirst="0" w:colLast="0" w:name="_dbk07q499ssj" w:id="12"/>
      <w:bookmarkEnd w:id="12"/>
      <w:r w:rsidDel="00000000" w:rsidR="00000000" w:rsidRPr="00000000">
        <w:rPr>
          <w:color w:val="000000"/>
          <w:sz w:val="26"/>
          <w:szCs w:val="26"/>
          <w:rtl w:val="0"/>
        </w:rPr>
        <w:t xml:space="preserve">Building a shared vision</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You as co-investors should outline:</w:t>
      </w:r>
    </w:p>
    <w:p w:rsidR="00000000" w:rsidDel="00000000" w:rsidP="00000000" w:rsidRDefault="00000000" w:rsidRPr="00000000" w14:paraId="00000046">
      <w:pPr>
        <w:numPr>
          <w:ilvl w:val="0"/>
          <w:numId w:val="2"/>
        </w:numPr>
        <w:spacing w:after="0" w:afterAutospacing="0" w:before="240" w:lineRule="auto"/>
        <w:ind w:left="720" w:hanging="360"/>
      </w:pPr>
      <w:r w:rsidDel="00000000" w:rsidR="00000000" w:rsidRPr="00000000">
        <w:rPr>
          <w:sz w:val="24"/>
          <w:szCs w:val="24"/>
          <w:rtl w:val="0"/>
        </w:rPr>
        <w:t xml:space="preserve">What kind of property: apartments, villas, plots, mixed use</w:t>
        <w:br w:type="textWrapping"/>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sz w:val="24"/>
          <w:szCs w:val="24"/>
          <w:rtl w:val="0"/>
        </w:rPr>
        <w:t xml:space="preserve">Location preferences: proximity to transport, amenities, growth areas</w:t>
        <w:br w:type="textWrapping"/>
      </w:r>
    </w:p>
    <w:p w:rsidR="00000000" w:rsidDel="00000000" w:rsidP="00000000" w:rsidRDefault="00000000" w:rsidRPr="00000000" w14:paraId="00000048">
      <w:pPr>
        <w:numPr>
          <w:ilvl w:val="0"/>
          <w:numId w:val="2"/>
        </w:numPr>
        <w:spacing w:after="240" w:before="0" w:beforeAutospacing="0" w:lineRule="auto"/>
        <w:ind w:left="720" w:hanging="360"/>
      </w:pPr>
      <w:r w:rsidDel="00000000" w:rsidR="00000000" w:rsidRPr="00000000">
        <w:rPr>
          <w:sz w:val="24"/>
          <w:szCs w:val="24"/>
          <w:rtl w:val="0"/>
        </w:rPr>
        <w:t xml:space="preserve">Quality and standards: developer reputation, finishes, design</w:t>
      </w:r>
    </w:p>
    <w:p w:rsidR="00000000" w:rsidDel="00000000" w:rsidP="00000000" w:rsidRDefault="00000000" w:rsidRPr="00000000" w14:paraId="00000049">
      <w:pPr>
        <w:pStyle w:val="Heading3"/>
        <w:keepNext w:val="0"/>
        <w:keepLines w:val="0"/>
        <w:spacing w:before="280" w:lineRule="auto"/>
        <w:rPr>
          <w:color w:val="000000"/>
          <w:sz w:val="26"/>
          <w:szCs w:val="26"/>
        </w:rPr>
      </w:pPr>
      <w:bookmarkStart w:colFirst="0" w:colLast="0" w:name="_p3ez4sef7gdk" w:id="13"/>
      <w:bookmarkEnd w:id="13"/>
      <w:r w:rsidDel="00000000" w:rsidR="00000000" w:rsidRPr="00000000">
        <w:rPr>
          <w:color w:val="000000"/>
          <w:sz w:val="26"/>
          <w:szCs w:val="26"/>
          <w:rtl w:val="0"/>
        </w:rPr>
        <w:t xml:space="preserve">Aligning timelines and exit plans</w:t>
      </w:r>
    </w:p>
    <w:p w:rsidR="00000000" w:rsidDel="00000000" w:rsidP="00000000" w:rsidRDefault="00000000" w:rsidRPr="00000000" w14:paraId="0000004A">
      <w:pPr>
        <w:numPr>
          <w:ilvl w:val="0"/>
          <w:numId w:val="5"/>
        </w:numPr>
        <w:spacing w:after="0" w:afterAutospacing="0" w:before="240" w:lineRule="auto"/>
        <w:ind w:left="720" w:hanging="360"/>
      </w:pPr>
      <w:r w:rsidDel="00000000" w:rsidR="00000000" w:rsidRPr="00000000">
        <w:rPr>
          <w:sz w:val="24"/>
          <w:szCs w:val="24"/>
          <w:rtl w:val="0"/>
        </w:rPr>
        <w:t xml:space="preserve">When will you exit? The exit strategy may involve holding periods, achieving specific capital gains, or reaching targeted income levels.</w:t>
        <w:br w:type="textWrapping"/>
      </w:r>
    </w:p>
    <w:p w:rsidR="00000000" w:rsidDel="00000000" w:rsidP="00000000" w:rsidRDefault="00000000" w:rsidRPr="00000000" w14:paraId="0000004B">
      <w:pPr>
        <w:numPr>
          <w:ilvl w:val="0"/>
          <w:numId w:val="5"/>
        </w:numPr>
        <w:spacing w:after="240" w:before="0" w:beforeAutospacing="0" w:lineRule="auto"/>
        <w:ind w:left="720" w:hanging="360"/>
      </w:pPr>
      <w:r w:rsidDel="00000000" w:rsidR="00000000" w:rsidRPr="00000000">
        <w:rPr>
          <w:sz w:val="24"/>
          <w:szCs w:val="24"/>
          <w:rtl w:val="0"/>
        </w:rPr>
        <w:t xml:space="preserve">Trigger events: death, illness, disagreement, change in laws.</w:t>
      </w:r>
    </w:p>
    <w:p w:rsidR="00000000" w:rsidDel="00000000" w:rsidP="00000000" w:rsidRDefault="00000000" w:rsidRPr="00000000" w14:paraId="0000004C">
      <w:pPr>
        <w:pStyle w:val="Heading3"/>
        <w:keepNext w:val="0"/>
        <w:keepLines w:val="0"/>
        <w:spacing w:before="280" w:lineRule="auto"/>
        <w:rPr>
          <w:color w:val="000000"/>
          <w:sz w:val="26"/>
          <w:szCs w:val="26"/>
        </w:rPr>
      </w:pPr>
      <w:bookmarkStart w:colFirst="0" w:colLast="0" w:name="_af8vjgxvtshz" w:id="14"/>
      <w:bookmarkEnd w:id="14"/>
      <w:r w:rsidDel="00000000" w:rsidR="00000000" w:rsidRPr="00000000">
        <w:rPr>
          <w:color w:val="000000"/>
          <w:sz w:val="26"/>
          <w:szCs w:val="26"/>
          <w:rtl w:val="0"/>
        </w:rPr>
        <w:t xml:space="preserve">Financial alignment: who pays what, who gets what</w:t>
      </w:r>
    </w:p>
    <w:p w:rsidR="00000000" w:rsidDel="00000000" w:rsidP="00000000" w:rsidRDefault="00000000" w:rsidRPr="00000000" w14:paraId="0000004D">
      <w:pPr>
        <w:numPr>
          <w:ilvl w:val="0"/>
          <w:numId w:val="4"/>
        </w:numPr>
        <w:spacing w:after="0" w:afterAutospacing="0" w:before="240" w:lineRule="auto"/>
        <w:ind w:left="720" w:hanging="360"/>
      </w:pPr>
      <w:r w:rsidDel="00000000" w:rsidR="00000000" w:rsidRPr="00000000">
        <w:rPr>
          <w:sz w:val="24"/>
          <w:szCs w:val="24"/>
          <w:rtl w:val="0"/>
        </w:rPr>
        <w:t xml:space="preserve">Initial contributions vs ongoing costs (maintenance, property management, legal)</w:t>
        <w:br w:type="textWrapping"/>
      </w:r>
    </w:p>
    <w:p w:rsidR="00000000" w:rsidDel="00000000" w:rsidP="00000000" w:rsidRDefault="00000000" w:rsidRPr="00000000" w14:paraId="0000004E">
      <w:pPr>
        <w:numPr>
          <w:ilvl w:val="0"/>
          <w:numId w:val="4"/>
        </w:numPr>
        <w:spacing w:after="240" w:before="0" w:beforeAutospacing="0" w:lineRule="auto"/>
        <w:ind w:left="720" w:hanging="360"/>
      </w:pPr>
      <w:r w:rsidDel="00000000" w:rsidR="00000000" w:rsidRPr="00000000">
        <w:rPr>
          <w:sz w:val="24"/>
          <w:szCs w:val="24"/>
          <w:rtl w:val="0"/>
        </w:rPr>
        <w:t xml:space="preserve">Rental income division, profit after sale, tax or fee implications</w:t>
      </w:r>
    </w:p>
    <w:p w:rsidR="00000000" w:rsidDel="00000000" w:rsidP="00000000" w:rsidRDefault="00000000" w:rsidRPr="00000000" w14:paraId="0000004F">
      <w:pPr>
        <w:pStyle w:val="Heading3"/>
        <w:keepNext w:val="0"/>
        <w:keepLines w:val="0"/>
        <w:spacing w:before="280" w:lineRule="auto"/>
        <w:rPr>
          <w:color w:val="000000"/>
          <w:sz w:val="26"/>
          <w:szCs w:val="26"/>
        </w:rPr>
      </w:pPr>
      <w:bookmarkStart w:colFirst="0" w:colLast="0" w:name="_depxev8nkl77" w:id="15"/>
      <w:bookmarkEnd w:id="15"/>
      <w:r w:rsidDel="00000000" w:rsidR="00000000" w:rsidRPr="00000000">
        <w:rPr>
          <w:color w:val="000000"/>
          <w:sz w:val="26"/>
          <w:szCs w:val="26"/>
          <w:rtl w:val="0"/>
        </w:rPr>
        <w:t xml:space="preserve">Legal alignment and documentation</w:t>
      </w:r>
    </w:p>
    <w:p w:rsidR="00000000" w:rsidDel="00000000" w:rsidP="00000000" w:rsidRDefault="00000000" w:rsidRPr="00000000" w14:paraId="00000050">
      <w:pPr>
        <w:numPr>
          <w:ilvl w:val="0"/>
          <w:numId w:val="9"/>
        </w:numPr>
        <w:spacing w:after="0" w:afterAutospacing="0" w:before="240" w:lineRule="auto"/>
        <w:ind w:left="720" w:hanging="360"/>
      </w:pPr>
      <w:r w:rsidDel="00000000" w:rsidR="00000000" w:rsidRPr="00000000">
        <w:rPr>
          <w:sz w:val="24"/>
          <w:szCs w:val="24"/>
          <w:rtl w:val="0"/>
        </w:rPr>
        <w:t xml:space="preserve">Co-ownership agreements with clear clauses on shares, dispute resolution, and exit mechanism</w:t>
      </w:r>
    </w:p>
    <w:p w:rsidR="00000000" w:rsidDel="00000000" w:rsidP="00000000" w:rsidRDefault="00000000" w:rsidRPr="00000000" w14:paraId="00000051">
      <w:pPr>
        <w:numPr>
          <w:ilvl w:val="0"/>
          <w:numId w:val="9"/>
        </w:numPr>
        <w:spacing w:after="240" w:before="0" w:beforeAutospacing="0" w:lineRule="auto"/>
        <w:ind w:left="720" w:hanging="360"/>
      </w:pPr>
      <w:r w:rsidDel="00000000" w:rsidR="00000000" w:rsidRPr="00000000">
        <w:rPr>
          <w:sz w:val="24"/>
          <w:szCs w:val="24"/>
          <w:rtl w:val="0"/>
        </w:rPr>
        <w:t xml:space="preserve">Compliance with Law No. 6 of 2019 about jointly owned property in Dubai, registering jointly owned property, owners’ committees, etc.</w:t>
        <w:br w:type="textWrapping"/>
      </w:r>
    </w:p>
    <w:p w:rsidR="00000000" w:rsidDel="00000000" w:rsidP="00000000" w:rsidRDefault="00000000" w:rsidRPr="00000000" w14:paraId="00000052">
      <w:pPr>
        <w:pStyle w:val="Heading2"/>
        <w:keepNext w:val="0"/>
        <w:keepLines w:val="0"/>
        <w:spacing w:after="80" w:lineRule="auto"/>
        <w:rPr>
          <w:sz w:val="34"/>
          <w:szCs w:val="34"/>
        </w:rPr>
      </w:pPr>
      <w:bookmarkStart w:colFirst="0" w:colLast="0" w:name="_map44f9hj17k" w:id="16"/>
      <w:bookmarkEnd w:id="16"/>
      <w:r w:rsidDel="00000000" w:rsidR="00000000" w:rsidRPr="00000000">
        <w:rPr>
          <w:sz w:val="34"/>
          <w:szCs w:val="34"/>
          <w:rtl w:val="0"/>
        </w:rPr>
        <w:t xml:space="preserve">Conclusion</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Aligned investment interests are not glamorous. They work. But they make co-investment doable. Shared vision in partnerships lets you avoid friction. It lets co-investor alignment benefits show up: better returns, fewer disputes, and more confidence.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If you’re considering real estate in Dubai, you get strong returns (yields up to 9-11% in some areas), legal support under laws like Law 6-2019 for jointly owned properties, and a rising investor base. But unless you get alignment with co-investors, you risk losing value or wasting time.</w:t>
      </w:r>
    </w:p>
    <w:p w:rsidR="00000000" w:rsidDel="00000000" w:rsidP="00000000" w:rsidRDefault="00000000" w:rsidRPr="00000000" w14:paraId="00000055">
      <w:pPr>
        <w:spacing w:after="240" w:before="240" w:lineRule="auto"/>
        <w:rPr>
          <w:sz w:val="24"/>
          <w:szCs w:val="24"/>
        </w:rPr>
      </w:pPr>
      <w:hyperlink r:id="rId12">
        <w:r w:rsidDel="00000000" w:rsidR="00000000" w:rsidRPr="00000000">
          <w:rPr>
            <w:b w:val="1"/>
            <w:color w:val="1155cc"/>
            <w:sz w:val="24"/>
            <w:szCs w:val="24"/>
            <w:u w:val="single"/>
            <w:rtl w:val="0"/>
          </w:rPr>
          <w:t xml:space="preserve">AV Real Properties</w:t>
        </w:r>
      </w:hyperlink>
      <w:r w:rsidDel="00000000" w:rsidR="00000000" w:rsidRPr="00000000">
        <w:rPr>
          <w:sz w:val="24"/>
          <w:szCs w:val="24"/>
          <w:rtl w:val="0"/>
        </w:rPr>
        <w:t xml:space="preserve"> helps clients set up co-investment deals with clear alignment from the start. They help define roles, draft documents, make sure everyone shares a vision, and ensure legal compliance. When your interests align, shared success follows.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hyperlink r:id="rId13">
        <w:r w:rsidDel="00000000" w:rsidR="00000000" w:rsidRPr="00000000">
          <w:rPr>
            <w:b w:val="1"/>
            <w:color w:val="980000"/>
            <w:sz w:val="26"/>
            <w:szCs w:val="26"/>
            <w:u w:val="single"/>
            <w:rtl w:val="0"/>
          </w:rPr>
          <w:t xml:space="preserve">Find Properties</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sz w:val="34"/>
          <w:szCs w:val="34"/>
        </w:rPr>
      </w:pPr>
      <w:bookmarkStart w:colFirst="0" w:colLast="0" w:name="_cz2vxy8ngn5j" w:id="17"/>
      <w:bookmarkEnd w:id="17"/>
      <w:r w:rsidDel="00000000" w:rsidR="00000000" w:rsidRPr="00000000">
        <w:rPr>
          <w:sz w:val="34"/>
          <w:szCs w:val="34"/>
          <w:rtl w:val="0"/>
        </w:rPr>
        <w:t xml:space="preserve">FAQs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40" w:before="240" w:lineRule="auto"/>
        <w:rPr>
          <w:sz w:val="24"/>
          <w:szCs w:val="24"/>
        </w:rPr>
      </w:pPr>
      <w:r w:rsidDel="00000000" w:rsidR="00000000" w:rsidRPr="00000000">
        <w:rPr>
          <w:sz w:val="26"/>
          <w:szCs w:val="26"/>
          <w:rtl w:val="0"/>
        </w:rPr>
        <w:t xml:space="preserve">Q1. What profit advantages do co-investments offer in Dubai real estate?</w:t>
      </w:r>
      <w:r w:rsidDel="00000000" w:rsidR="00000000" w:rsidRPr="00000000">
        <w:rPr>
          <w:b w:val="1"/>
          <w:sz w:val="24"/>
          <w:szCs w:val="24"/>
          <w:rtl w:val="0"/>
        </w:rPr>
        <w:br w:type="textWrapping"/>
      </w:r>
      <w:r w:rsidDel="00000000" w:rsidR="00000000" w:rsidRPr="00000000">
        <w:rPr>
          <w:sz w:val="24"/>
          <w:szCs w:val="24"/>
          <w:rtl w:val="0"/>
        </w:rPr>
        <w:t xml:space="preserve">When you invest with others, capital is pooled. You can access better properties, more desirable locations, or luxury segments you may not afford alone. Shared costs reduce individual exposure. Rental yields in Dubai often reach 9-11% in affordable segments, making profit higher vs. solo investment in similar classes.</w:t>
      </w:r>
    </w:p>
    <w:p w:rsidR="00000000" w:rsidDel="00000000" w:rsidP="00000000" w:rsidRDefault="00000000" w:rsidRPr="00000000" w14:paraId="0000005C">
      <w:pPr>
        <w:spacing w:after="240" w:before="240" w:lineRule="auto"/>
        <w:rPr>
          <w:sz w:val="24"/>
          <w:szCs w:val="24"/>
        </w:rPr>
      </w:pPr>
      <w:r w:rsidDel="00000000" w:rsidR="00000000" w:rsidRPr="00000000">
        <w:rPr>
          <w:sz w:val="26"/>
          <w:szCs w:val="26"/>
          <w:rtl w:val="0"/>
        </w:rPr>
        <w:t xml:space="preserve">Q2. Does aligning investment interests improve profit margins?</w:t>
      </w:r>
      <w:r w:rsidDel="00000000" w:rsidR="00000000" w:rsidRPr="00000000">
        <w:rPr>
          <w:b w:val="1"/>
          <w:sz w:val="24"/>
          <w:szCs w:val="24"/>
          <w:rtl w:val="0"/>
        </w:rPr>
        <w:br w:type="textWrapping"/>
      </w:r>
      <w:r w:rsidDel="00000000" w:rsidR="00000000" w:rsidRPr="00000000">
        <w:rPr>
          <w:sz w:val="24"/>
          <w:szCs w:val="24"/>
          <w:rtl w:val="0"/>
        </w:rPr>
        <w:t xml:space="preserve">Yes. When co-investors align on risk, budget, timeline, and exit strategy, decision-making becomes more streamlined, and the likelihood of cost overruns diminishes. You avoid delays or missteps that eat profit (e.g., unplanned maintenance, legal issues, delayed sale). Shared vision in partnerships is like setting guardrails to protect profit.</w:t>
      </w:r>
    </w:p>
    <w:p w:rsidR="00000000" w:rsidDel="00000000" w:rsidP="00000000" w:rsidRDefault="00000000" w:rsidRPr="00000000" w14:paraId="0000005D">
      <w:pPr>
        <w:spacing w:after="240" w:before="240" w:lineRule="auto"/>
        <w:rPr>
          <w:sz w:val="24"/>
          <w:szCs w:val="24"/>
        </w:rPr>
      </w:pPr>
      <w:r w:rsidDel="00000000" w:rsidR="00000000" w:rsidRPr="00000000">
        <w:rPr>
          <w:sz w:val="26"/>
          <w:szCs w:val="26"/>
          <w:rtl w:val="0"/>
        </w:rPr>
        <w:t xml:space="preserve">Q3. Can co-investment mitigate market risk and increase profit stability?</w:t>
      </w:r>
      <w:r w:rsidDel="00000000" w:rsidR="00000000" w:rsidRPr="00000000">
        <w:rPr>
          <w:b w:val="1"/>
          <w:sz w:val="24"/>
          <w:szCs w:val="24"/>
          <w:rtl w:val="0"/>
        </w:rPr>
        <w:br w:type="textWrapping"/>
      </w:r>
      <w:r w:rsidDel="00000000" w:rsidR="00000000" w:rsidRPr="00000000">
        <w:rPr>
          <w:sz w:val="24"/>
          <w:szCs w:val="24"/>
          <w:rtl w:val="0"/>
        </w:rPr>
        <w:t xml:space="preserve">Yes. Pooling investment spreads risk: if vacancy, repair or market dip hits, it's shared. Also, with proper alignment, you choose property types/locations with good yield, not just hype. And legal protections under Dubai laws (co-ownership, joint property law) help protect your share.</w:t>
      </w:r>
    </w:p>
    <w:p w:rsidR="00000000" w:rsidDel="00000000" w:rsidP="00000000" w:rsidRDefault="00000000" w:rsidRPr="00000000" w14:paraId="0000005E">
      <w:pPr>
        <w:spacing w:after="240" w:before="240" w:lineRule="auto"/>
        <w:rPr>
          <w:color w:val="1155cc"/>
          <w:sz w:val="24"/>
          <w:szCs w:val="24"/>
          <w:u w:val="single"/>
        </w:rPr>
      </w:pPr>
      <w:r w:rsidDel="00000000" w:rsidR="00000000" w:rsidRPr="00000000">
        <w:rPr>
          <w:sz w:val="26"/>
          <w:szCs w:val="26"/>
          <w:rtl w:val="0"/>
        </w:rPr>
        <w:t xml:space="preserve">Q4. What kind of ROI can co-investors expect if aligned properly?</w:t>
      </w:r>
      <w:r w:rsidDel="00000000" w:rsidR="00000000" w:rsidRPr="00000000">
        <w:rPr>
          <w:b w:val="1"/>
          <w:sz w:val="24"/>
          <w:szCs w:val="24"/>
          <w:rtl w:val="0"/>
        </w:rPr>
        <w:br w:type="textWrapping"/>
      </w:r>
      <w:r w:rsidDel="00000000" w:rsidR="00000000" w:rsidRPr="00000000">
        <w:rPr>
          <w:sz w:val="24"/>
          <w:szCs w:val="24"/>
          <w:rtl w:val="0"/>
        </w:rPr>
        <w:t xml:space="preserve">Depends on property type and location. Affordable apartments often yield 9-11%. Villas might give 4-6%. Luxury segments often give a bit less yield but higher capital appreciation. With co-investment, you share those figures and improve the odds of hitting the higher end because you can choose better assets.</w:t>
      </w:r>
      <w:hyperlink r:id="rId14">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sz w:val="26"/>
          <w:szCs w:val="26"/>
          <w:rtl w:val="0"/>
        </w:rPr>
        <w:t xml:space="preserve">Q5. Are there legal profit risks if co-investment alignment is weak?</w:t>
      </w:r>
      <w:r w:rsidDel="00000000" w:rsidR="00000000" w:rsidRPr="00000000">
        <w:rPr>
          <w:b w:val="1"/>
          <w:sz w:val="24"/>
          <w:szCs w:val="24"/>
          <w:rtl w:val="0"/>
        </w:rPr>
        <w:br w:type="textWrapping"/>
      </w:r>
      <w:r w:rsidDel="00000000" w:rsidR="00000000" w:rsidRPr="00000000">
        <w:rPr>
          <w:sz w:val="24"/>
          <w:szCs w:val="24"/>
          <w:rtl w:val="0"/>
        </w:rPr>
        <w:t xml:space="preserve">Yes. Without legal clarity co-owners might disagree on sale, fail to register property under joint ownership laws, or neglect necessary committees or management obligations. Law No. 6 of 2019 requires co-owned properties to have clear records, maintenance responsibilities and owners’ committees. Violating legal norms can hurt profit (fines, difficulty selling, disputes).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vrealproperties.com/about" TargetMode="External"/><Relationship Id="rId10" Type="http://schemas.openxmlformats.org/officeDocument/2006/relationships/hyperlink" Target="https://avrealproperties.com/areas" TargetMode="External"/><Relationship Id="rId13" Type="http://schemas.openxmlformats.org/officeDocument/2006/relationships/hyperlink" Target="https://avrealproperties.com/areas" TargetMode="External"/><Relationship Id="rId12" Type="http://schemas.openxmlformats.org/officeDocument/2006/relationships/hyperlink" Target="https://avrealproperties.com/conta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vrealproperties.com/developers" TargetMode="External"/><Relationship Id="rId14" Type="http://schemas.openxmlformats.org/officeDocument/2006/relationships/hyperlink" Target="https://dubaimasterplan.com/real-estate-return-on-investment/?utm_source=chatgpt.com" TargetMode="External"/><Relationship Id="rId5" Type="http://schemas.openxmlformats.org/officeDocument/2006/relationships/styles" Target="styles.xml"/><Relationship Id="rId6" Type="http://schemas.openxmlformats.org/officeDocument/2006/relationships/hyperlink" Target="https://avrealproperties.com/" TargetMode="External"/><Relationship Id="rId7" Type="http://schemas.openxmlformats.org/officeDocument/2006/relationships/hyperlink" Target="https://avrealproperties.com/projects" TargetMode="External"/><Relationship Id="rId8" Type="http://schemas.openxmlformats.org/officeDocument/2006/relationships/hyperlink" Target="https://avrealproperties.com/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