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37.999999999999986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0" style="width:65pt;height:81pt" type="#_x0000_t75">
                  <v:imagedata r:id="rId1" o:title=""/>
                </v:shape>
                <o:OLEObject DrawAspect="Content" r:id="rId2" ObjectID="_1148147298" ProgID="embed Word.Picture.6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befor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6">
            <w:pPr>
              <w:spacing w:after="0" w:before="240" w:lineRule="auto"/>
              <w:jc w:val="center"/>
              <w:rPr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Бакалавърска програма</w:t>
              <w:br w:type="textWrapping"/>
              <w:t xml:space="preserve">„Софтуерно инженерство”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1" style="width:59pt;height:63pt" type="#_x0000_t75">
                  <v:imagedata r:id="rId3" o:title=""/>
                </v:shape>
                <o:OLEObject DrawAspect="Content" r:id="rId4" ObjectID="_1361107515" ProgID="PBrush" ShapeID="_x0000_s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Предмет: XML технологии за семантичен Уеб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Зимен семестър, 2020/2021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Тема №</w:t>
      </w:r>
      <w:r w:rsidDel="00000000" w:rsidR="00000000" w:rsidRPr="00000000">
        <w:rPr>
          <w:b w:val="1"/>
          <w:sz w:val="40"/>
          <w:szCs w:val="40"/>
          <w:rtl w:val="0"/>
        </w:rPr>
        <w:t xml:space="preserve">32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40"/>
          <w:szCs w:val="40"/>
          <w:rtl w:val="0"/>
        </w:rPr>
        <w:t xml:space="preserve">B2B XML transformation by 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Автори: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Станислав Димов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, фак. номер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62352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Георги Кацарски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, фак. номер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62353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януари, 2021</w:t>
      </w:r>
    </w:p>
    <w:p w:rsidR="00000000" w:rsidDel="00000000" w:rsidP="00000000" w:rsidRDefault="00000000" w:rsidRPr="00000000" w14:paraId="0000001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София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431" w:right="0" w:hanging="431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Съдържание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Въведение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на решението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01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Работен процес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01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Структура на съдържанието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01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Тип и представяне на съдържанието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Дизайн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Тестване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Заключение и възможно бъдещо развитие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Разпределение на работата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0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Използвани литературни източници и Уеб сайтове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5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Въведение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vertAlign w:val="baseline"/>
          <w:rtl w:val="0"/>
        </w:rPr>
        <w:t xml:space="preserve">Настоящият документ представлява </w:t>
      </w:r>
      <w:r w:rsidDel="00000000" w:rsidR="00000000" w:rsidRPr="00000000">
        <w:rPr>
          <w:rtl w:val="0"/>
        </w:rPr>
        <w:t xml:space="preserve">документация на курсовия проект - B2B XML transformation by SAX. 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XML не дефинира строго таговете, които ще бъдат използвани в даден документ и това позволява на потребителите да създават тагове, които са нужни в съответната приложна област. Това поражда и проблеми свързани с разликите, които са породени от различните начини за представяне на информация от различни потребители. Един обект може да бъде представен чрез различни имена на тагове и чрез различна йерархичност на таговете, но неговата семантика да не бъде променена.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Реализацията на курсовия проект решава конкретен проблем - една книжарница, предлагаща само хартиени издания на книги, и една онлайн книжарница, предлагаща само книги в електронен вариант, решават да направят общ проект за книжарница, която съдържа както хартиени книги, така и книги в електронен вариант. Проблемът е, че двете книжарници представят сходна информация чрез XML по различен начин. Нашата задача е като използваме предварително зададените DTD валидационни документи да направим трансформация от каталог с хартиени издания на книги в каталог за дигитални книги.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За решаването на проблема използваме интерфейса на SAX в JAVA, който ни предоставя възможност за императивна обработка на XML документ. По този начин съхраняваме информацията от даден XML каталог в контейнер от реализиран от нас клас представляващ съответно дигитална книга или хартиена книга. В тези класове са създадени методи, създаващи съответно XML представяне за данни, които съдържа.</w:t>
      </w:r>
    </w:p>
    <w:p w:rsidR="00000000" w:rsidDel="00000000" w:rsidP="00000000" w:rsidRDefault="00000000" w:rsidRPr="00000000" w14:paraId="0000003A">
      <w:pPr>
        <w:ind w:left="0"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В следващите страници може да откриете по-задълбочено представяне на проблема и решението.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Анализ на решението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Работен процес</w:t>
      </w:r>
    </w:p>
    <w:p w:rsidR="00000000" w:rsidDel="00000000" w:rsidP="00000000" w:rsidRDefault="00000000" w:rsidRPr="00000000" w14:paraId="0000003D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Нужна ни е средна за програмиране, в която да се заредят класовете и XML файл, който да бъде обработен. Чрез main методите на двата основни класа SAXParserDigitalToPhysical и SAXParserPhysicalToDigital стартираме програмата. Нужно е да укажем къде се намират съответните XML  документи, a когато програмата обработи файла,  ще бъдат създадени нови XML файлове, съдържащи трансформираното съдържани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Структура на съдържанието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09"/>
        <w:jc w:val="both"/>
        <w:rPr>
          <w:vertAlign w:val="baseline"/>
        </w:rPr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Структурата на JAVA програмата е представена чрез използването на packages и обособяването на отеделните смислови единици в отделни такива.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Тип и представяне на съдържанието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SAXParserDigitalToPhysical.java - Имплементация на SAX Default Handler</w:t>
      </w:r>
    </w:p>
    <w:p w:rsidR="00000000" w:rsidDel="00000000" w:rsidP="00000000" w:rsidRDefault="00000000" w:rsidRPr="00000000" w14:paraId="0000004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SAXParserPhycialToDigital .java - Имплементация на SAX Default Handler</w:t>
      </w:r>
    </w:p>
    <w:p w:rsidR="00000000" w:rsidDel="00000000" w:rsidP="00000000" w:rsidRDefault="00000000" w:rsidRPr="00000000" w14:paraId="0000004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Author.java - клас представящ автор</w:t>
      </w:r>
    </w:p>
    <w:p w:rsidR="00000000" w:rsidDel="00000000" w:rsidP="00000000" w:rsidRDefault="00000000" w:rsidRPr="00000000" w14:paraId="0000004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Publisher.java - клас представляващ издател</w:t>
      </w:r>
    </w:p>
    <w:p w:rsidR="00000000" w:rsidDel="00000000" w:rsidP="00000000" w:rsidRDefault="00000000" w:rsidRPr="00000000" w14:paraId="0000004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DigitalBook.java - клас представляващ дигитална книга</w:t>
      </w:r>
    </w:p>
    <w:p w:rsidR="00000000" w:rsidDel="00000000" w:rsidP="00000000" w:rsidRDefault="00000000" w:rsidRPr="00000000" w14:paraId="0000004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DigitalBookTags.java - клас, съдържащ всички тагове на дигитална книга</w:t>
      </w:r>
    </w:p>
    <w:p w:rsidR="00000000" w:rsidDel="00000000" w:rsidP="00000000" w:rsidRDefault="00000000" w:rsidRPr="00000000" w14:paraId="0000004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PhysicalBook.java - клас представляващ хартиена книга</w:t>
      </w:r>
    </w:p>
    <w:p w:rsidR="00000000" w:rsidDel="00000000" w:rsidP="00000000" w:rsidRDefault="00000000" w:rsidRPr="00000000" w14:paraId="0000004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PhysicalBookTags.java - клас, съдържащ всички тагове на хартиена  книга</w:t>
      </w:r>
    </w:p>
    <w:p w:rsidR="00000000" w:rsidDel="00000000" w:rsidP="00000000" w:rsidRDefault="00000000" w:rsidRPr="00000000" w14:paraId="0000004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digital_book.xml - съдържа дигиталните книги, представени с помощта на XML</w:t>
      </w:r>
    </w:p>
    <w:p w:rsidR="00000000" w:rsidDel="00000000" w:rsidP="00000000" w:rsidRDefault="00000000" w:rsidRPr="00000000" w14:paraId="0000004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physical_book.xml - съдържа хартиените книги, представени с помощта на XML</w:t>
      </w:r>
    </w:p>
    <w:p w:rsidR="00000000" w:rsidDel="00000000" w:rsidP="00000000" w:rsidRDefault="00000000" w:rsidRPr="00000000" w14:paraId="0000004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digital_book_validation.dtd - представлява валидиращ документ за digital_book.xml</w:t>
      </w:r>
    </w:p>
    <w:p w:rsidR="00000000" w:rsidDel="00000000" w:rsidP="00000000" w:rsidRDefault="00000000" w:rsidRPr="00000000" w14:paraId="0000004C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physical_book_validation.dtd - представлява валидиращ документ за physical_book.xml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9"/>
        <w:rPr/>
      </w:pPr>
      <w:r w:rsidDel="00000000" w:rsidR="00000000" w:rsidRPr="00000000">
        <w:rPr>
          <w:rtl w:val="0"/>
        </w:rPr>
        <w:t xml:space="preserve">Чрез override-натите методи на основните методи на SAX интерфейса: startDocument(),startElement(),characters(),endElement(),endDocument() ние обработваме събитията, които се случват по време на четенето на XML файла. Съответно информацията която се прочита се съхранява в класовете DigitalBook или PhysicalBook, които от своя страна имат методи, парсващи тази информация към противоположния тип книга във формата на String.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Методът startDocument() създава файл, в който ще пишем и създава основните средства за работа - книгата,която се обработва в момента и контейнер, съдържащ всички обработени книги.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Методът startElement() записва типа на елемента, който обработваме и ако елемента има атрибути, които са ни нужни те се записват в класовете за съхраняване.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Методът characters() служи за прочитане на съдържанието на елемента и съхранението му. Ключови са таблицата, която указва дали обработваме даден елемент и методът правещ проверката.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Методът endElement() служи да укажем, че вече не обработваме даден елемент.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Методът endDocument() служи да запишем обработената информация в нов XML файл.</w:t>
      </w:r>
    </w:p>
    <w:p w:rsidR="00000000" w:rsidDel="00000000" w:rsidP="00000000" w:rsidRDefault="00000000" w:rsidRPr="00000000" w14:paraId="00000054">
      <w:pPr>
        <w:ind w:firstLine="709"/>
        <w:jc w:val="both"/>
        <w:rPr>
          <w:vertAlign w:val="baseline"/>
        </w:rPr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Тестване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Тук обяснете как сте тествали предложеното решение: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29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XML документите бяха тествани спрямо съответния им DTD документ чрез сайта xmlvalidation.com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29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XML документите бяха проверени в Google Chrome и Opera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25563</wp:posOffset>
            </wp:positionH>
            <wp:positionV relativeFrom="paragraph">
              <wp:posOffset>323850</wp:posOffset>
            </wp:positionV>
            <wp:extent cx="5922328" cy="665790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498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328" cy="6657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1429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61913</wp:posOffset>
            </wp:positionH>
            <wp:positionV relativeFrom="paragraph">
              <wp:posOffset>114300</wp:posOffset>
            </wp:positionV>
            <wp:extent cx="5855653" cy="657826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498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653" cy="657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ind w:firstLine="709"/>
        <w:jc w:val="both"/>
        <w:rPr>
          <w:vertAlign w:val="baseline"/>
        </w:rPr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Заключение и възможно бъдещо развитие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Програмата ще работи само при така въведените валидиращи dtd документи. Възможно е програмата да работи и при корекции, но поведението </w:t>
      </w:r>
      <w:r w:rsidDel="00000000" w:rsidR="00000000" w:rsidRPr="00000000">
        <w:rPr>
          <w:color w:val="202122"/>
          <w:highlight w:val="white"/>
          <w:rtl w:val="0"/>
        </w:rPr>
        <w:t xml:space="preserve">ѝ</w:t>
      </w:r>
      <w:r w:rsidDel="00000000" w:rsidR="00000000" w:rsidRPr="00000000">
        <w:rPr>
          <w:rtl w:val="0"/>
        </w:rPr>
        <w:t xml:space="preserve"> не е дефинирано. Бъдещото  развитие би било в насока поддръжка на текущия инструмент за работа и по-добрата обработка на грешки.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заключение, обобщете резултатите от работата ви по проекта, както и предимствата и ограничеността на използваните технологии/езици/методи… Укажете какви алтернативи могат да се използват и техните предимства и недостатъци. Опишете каква е използваемостта на подобни решения в практиката и какво бихте предложили като насоки за бъдещо развитие на вашето решение.</w:t>
      </w:r>
    </w:p>
    <w:p w:rsidR="00000000" w:rsidDel="00000000" w:rsidP="00000000" w:rsidRDefault="00000000" w:rsidRPr="00000000" w14:paraId="0000005E">
      <w:pPr>
        <w:ind w:firstLine="709"/>
        <w:jc w:val="both"/>
        <w:rPr>
          <w:vertAlign w:val="baseline"/>
        </w:rPr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Разпределение на работата</w:t>
      </w:r>
    </w:p>
    <w:p w:rsidR="00000000" w:rsidDel="00000000" w:rsidP="00000000" w:rsidRDefault="00000000" w:rsidRPr="00000000" w14:paraId="00000060">
      <w:pPr>
        <w:ind w:left="0"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Разпределихме работата по xml документите и dtd файловете на две, като всеки направи двойка за съответната книжарница. След обсъждане и корекции и отстраняване на грешки и изготвяне на крайния им вариант, започнахме взаимна работа по SAX парсерът и измисляне на начин за използването на интерфейса му. В точка 4 и в java файловете са описани тези начини. По долу сме описали основните ни източници на информация, служещи за създаването на парсера.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Използвани литературни източници и Уеб сайтове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https://docs.oracle.com/cd/B28359_01/appdev.111/b28394/adx_j_parser.htm#ADXDK19142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https://www.xmlvalidation.com/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https://docs.oracle.com/javase/tutorial/jaxp/sax/parsing.html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https://www.baeldung.com/java-sax-parser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https://stackoverflow.com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36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431" w:hanging="431"/>
    </w:pPr>
    <w:rPr>
      <w:rFonts w:ascii="Times New Roman" w:cs="Times New Roman" w:eastAsia="Times New Roman" w:hAnsi="Times New Roman"/>
      <w:b w:val="1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ind w:left="578" w:hanging="578"/>
    </w:pPr>
    <w:rPr>
      <w:rFonts w:ascii="Times New Roman" w:cs="Times New Roman" w:eastAsia="Times New Roman" w:hAnsi="Times New Roman"/>
      <w:b w:val="1"/>
      <w:color w:val="4f81bd"/>
      <w:sz w:val="30"/>
      <w:szCs w:val="3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Rule="auto"/>
      <w:ind w:left="720" w:hanging="720"/>
    </w:pPr>
    <w:rPr>
      <w:rFonts w:ascii="Times New Roman" w:cs="Times New Roman" w:eastAsia="Times New Roman" w:hAnsi="Times New Roman"/>
      <w:b w:val="1"/>
      <w:color w:val="4f81bd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2"/>
      </w:numPr>
      <w:suppressAutoHyphens w:val="1"/>
      <w:spacing w:after="240" w:before="480" w:line="320" w:lineRule="atLeast"/>
      <w:ind w:left="431" w:leftChars="-1" w:rightChars="0" w:hanging="431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 w:bidi="ar-SA" w:eastAsia="bg-BG" w:val="bg-BG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2"/>
      </w:numPr>
      <w:suppressAutoHyphens w:val="1"/>
      <w:spacing w:after="200" w:before="200" w:line="320" w:lineRule="atLeast"/>
      <w:ind w:left="578" w:leftChars="-1" w:rightChars="0" w:hanging="578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sz w:val="30"/>
      <w:szCs w:val="26"/>
      <w:effect w:val="none"/>
      <w:vertAlign w:val="baseline"/>
      <w:cs w:val="0"/>
      <w:em w:val="none"/>
      <w:lang w:bidi="ar-SA" w:eastAsia="bg-BG" w:val="bg-BG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2"/>
      </w:numPr>
      <w:suppressAutoHyphens w:val="1"/>
      <w:spacing w:after="120" w:before="200" w:line="320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sz w:val="28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numPr>
        <w:ilvl w:val="3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numPr>
        <w:ilvl w:val="4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color w:val="243f60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numPr>
        <w:ilvl w:val="5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numPr>
        <w:ilvl w:val="6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numPr>
        <w:ilvl w:val="7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bg-BG" w:val="bg-BG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numPr>
        <w:ilvl w:val="8"/>
        <w:numId w:val="2"/>
      </w:numPr>
      <w:suppressAutoHyphens w:val="1"/>
      <w:spacing w:after="0" w:before="200" w:line="320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bg-BG" w:val="bg-BG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703"/>
        <w:tab w:val="right" w:leader="none" w:pos="940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bg-BG" w:val="bg-BG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bg-BG" w:val="bg-BG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703"/>
        <w:tab w:val="right" w:leader="none" w:pos="940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bg-BG" w:val="bg-BG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bg-BG" w:val="bg-BG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hAnsi="Times New Roman"/>
      <w:b w:val="1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hAnsi="Times New Roman"/>
      <w:b w:val="1"/>
      <w:bCs w:val="1"/>
      <w:color w:val="4f81bd"/>
      <w:w w:val="100"/>
      <w:position w:val="-1"/>
      <w:sz w:val="30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hAnsi="Times New Roman"/>
      <w:b w:val="1"/>
      <w:bCs w:val="1"/>
      <w:color w:val="4f81bd"/>
      <w:w w:val="100"/>
      <w:position w:val="-1"/>
      <w:sz w:val="28"/>
      <w:szCs w:val="22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hAnsi="Cambria"/>
      <w:b w:val="1"/>
      <w:bCs w:val="1"/>
      <w:i w:val="1"/>
      <w:i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hAnsi="Cambria"/>
      <w:color w:val="243f60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hAnsi="Cambria"/>
      <w:i w:val="1"/>
      <w:iCs w:val="1"/>
      <w:color w:val="243f60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hAnsi="Cambria"/>
      <w:i w:val="1"/>
      <w:iCs w:val="1"/>
      <w:color w:val="404040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hAnsi="Cambria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320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240" w:before="480" w:line="276" w:lineRule="auto"/>
      <w:ind w:left="431" w:leftChars="-1" w:rightChars="0" w:hanging="431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bg-BG" w:val="bg-BG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00"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00" w:line="320" w:lineRule="atLeast"/>
      <w:ind w:left="240"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00" w:line="320" w:lineRule="atLeast"/>
      <w:ind w:left="480"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bg-BG" w:val="bg-BG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bg-BG" w:val="bg-BG"/>
    </w:rPr>
  </w:style>
  <w:style w:type="character" w:styleId="FootnoteTextChar">
    <w:name w:val="Footnote Text Char"/>
    <w:basedOn w:val="DefaultParagraphFont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customXml" Target="../customXML/item1.xm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1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K6ZCgVHNTIj1rrpN2ePF7yYTg==">AMUW2mWIvDv5T7Np8R2EJBBQLLuCCx7l54nSPNYwfhyAQ6hKccSA51/+/VaJPpn+MOdaafOOGZ5r1qmF/oujtF3weGtKR6lNmiCpGnH/CyG0csXpBIbcFXgL7b/0MNzFHxw/X6TjSFK5lVeZ3U1bRGk6r3FEXDsmODO8a7gNso/BCnhFXZQ0XCAW0zJLuJe0VMjmG2WBjDWe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2019-10-05T20:22:00Z</dcterms:created>
  <dc:creator>Boyan Bontchev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