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3415A" w:color="auto" w:val="clear"/>
            <w:tcMar>
              <w:top w:type="dxa" w:w="260"/>
              <w:left w:type="dxa" w:w="320"/>
              <w:bottom w:type="dxa" w:w="260"/>
              <w:right w:type="dxa" w:w="320"/>
            </w:tcMar>
          </w:tcPr>
          <w:p>
            <w:pPr>
              <w:spacing w:after="40"/>
            </w:pPr>
            <w:r>
              <w:rPr>
                <w:rFonts w:ascii="Calibri" w:cs="Calibri" w:eastAsia="Calibri" w:hAnsi="Calibri"/>
                <w:b/>
                <w:bCs/>
                <w:color w:val="F3EAD9"/>
                <w:spacing w:val="20"/>
                <w:sz w:val="17"/>
                <w:szCs w:val="17"/>
              </w:rPr>
              <w:t xml:space="preserve">FICHE DE RÉFÉRENCE — ANGLAIS PERSONNALISÉ</w:t>
            </w:r>
          </w:p>
          <w:p>
            <w:pPr>
              <w:spacing w:after="60"/>
            </w:pPr>
            <w:r>
              <w:rPr>
                <w:rFonts w:ascii="Georgia" w:cs="Georgia" w:eastAsia="Georgia" w:hAnsi="Georgia"/>
                <w:b/>
                <w:bCs/>
                <w:color w:val="FFFFFF"/>
                <w:sz w:val="44"/>
                <w:szCs w:val="44"/>
              </w:rPr>
              <w:t xml:space="preserve">Françoise Bernardini</w:t>
            </w:r>
          </w:p>
          <w:p>
            <w:pPr>
              <w:spacing w:after="0"/>
            </w:pPr>
            <w:r>
              <w:rPr>
                <w:rFonts w:ascii="Calibri" w:cs="Calibri" w:eastAsia="Calibri" w:hAnsi="Calibri"/>
                <w:color w:val="E4D9BE"/>
                <w:sz w:val="19"/>
                <w:szCs w:val="19"/>
              </w:rPr>
              <w:t xml:space="preserve">🌊 Ajaccio, Corse   ·   </w:t>
            </w:r>
            <w:r>
              <w:rPr>
                <w:rFonts w:ascii="Calibri" w:cs="Calibri" w:eastAsia="Calibri" w:hAnsi="Calibri"/>
                <w:color w:val="E4D9BE"/>
                <w:sz w:val="19"/>
                <w:szCs w:val="19"/>
              </w:rPr>
              <w:t xml:space="preserve">Parcours A2.2 → B1.1   ·   </w:t>
            </w:r>
            <w:r>
              <w:rPr>
                <w:rFonts w:ascii="Calibri" w:cs="Calibri" w:eastAsia="Calibri" w:hAnsi="Calibri"/>
                <w:color w:val="E4D9BE"/>
                <w:sz w:val="19"/>
                <w:szCs w:val="19"/>
              </w:rPr>
              <w:t xml:space="preserve">19 heures</w:t>
            </w:r>
          </w:p>
          <w:p>
            <w:pPr>
              <w:spacing w:after="0" w:before="100"/>
            </w:pPr>
            <w:r>
              <w:rPr>
                <w:rFonts w:ascii="Calibri" w:cs="Calibri" w:eastAsia="Calibri" w:hAnsi="Calibri"/>
                <w:i/>
                <w:iCs/>
                <w:color w:val="BFD0CE"/>
                <w:sz w:val="15"/>
                <w:szCs w:val="15"/>
              </w:rPr>
              <w:t xml:space="preserve">SpeakEasyTisha · document interne · créé le 19 août 2026, à la suite de la Séance 1 (Welcome &amp; auto-présentation)</w:t>
            </w:r>
          </w:p>
        </w:tc>
      </w:tr>
    </w:tbl>
    <w:p>
      <w:pPr>
        <w:spacing w:after="120"/>
      </w:pPr>
      <w:r>
        <w:rPr>
          <w:rFonts w:ascii="Calibri" w:cs="Calibri" w:eastAsia="Calibri" w:hAnsi="Calibri"/>
          <w:color w:val="22312B"/>
          <w:sz w:val="18"/>
          <w:szCs w:val="18"/>
        </w:rPr>
        <w:t xml:space="preserve"> </w:t>
      </w:r>
    </w:p>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Profil rapide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tcBorders>
              <w:top w:val="single" w:color="D9CFB8" w:sz="4"/>
              <w:left w:val="single" w:color="D9CFB8" w:sz="4"/>
              <w:bottom w:val="single" w:color="D9CFB8" w:sz="4"/>
              <w:right w:val="single" w:color="D9CFB8" w:sz="4"/>
            </w:tcBorders>
            <w:shd w:fill="F3EAD9"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Apprenante</w:t>
            </w:r>
          </w:p>
        </w:tc>
        <w:tc>
          <w:tcPr>
            <w:tcW w:type="dxa" w:w="7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Françoise Bernardini</w:t>
            </w:r>
          </w:p>
        </w:tc>
      </w:tr>
      <w:tr>
        <w:tc>
          <w:tcPr>
            <w:tcW w:type="dxa" w:w="3000"/>
            <w:tcBorders>
              <w:top w:val="single" w:color="D9CFB8" w:sz="4"/>
              <w:left w:val="single" w:color="D9CFB8" w:sz="4"/>
              <w:bottom w:val="single" w:color="D9CFB8" w:sz="4"/>
              <w:right w:val="single" w:color="D9CFB8" w:sz="4"/>
            </w:tcBorders>
            <w:shd w:fill="F3EAD9"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Lieu de vie</w:t>
            </w:r>
          </w:p>
        </w:tc>
        <w:tc>
          <w:tcPr>
            <w:tcW w:type="dxa" w:w="7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Ajaccio, Corse</w:t>
            </w:r>
          </w:p>
        </w:tc>
      </w:tr>
      <w:tr>
        <w:tc>
          <w:tcPr>
            <w:tcW w:type="dxa" w:w="3000"/>
            <w:tcBorders>
              <w:top w:val="single" w:color="D9CFB8" w:sz="4"/>
              <w:left w:val="single" w:color="D9CFB8" w:sz="4"/>
              <w:bottom w:val="single" w:color="D9CFB8" w:sz="4"/>
              <w:right w:val="single" w:color="D9CFB8" w:sz="4"/>
            </w:tcBorders>
            <w:shd w:fill="F3EAD9"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Volume de formation</w:t>
            </w:r>
          </w:p>
        </w:tc>
        <w:tc>
          <w:tcPr>
            <w:tcW w:type="dxa" w:w="7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19 heures</w:t>
            </w:r>
          </w:p>
        </w:tc>
      </w:tr>
      <w:tr>
        <w:tc>
          <w:tcPr>
            <w:tcW w:type="dxa" w:w="3000"/>
            <w:tcBorders>
              <w:top w:val="single" w:color="D9CFB8" w:sz="4"/>
              <w:left w:val="single" w:color="D9CFB8" w:sz="4"/>
              <w:bottom w:val="single" w:color="D9CFB8" w:sz="4"/>
              <w:right w:val="single" w:color="D9CFB8" w:sz="4"/>
            </w:tcBorders>
            <w:shd w:fill="F3EAD9"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Niveau de départ</w:t>
            </w:r>
          </w:p>
        </w:tc>
        <w:tc>
          <w:tcPr>
            <w:tcW w:type="dxa" w:w="7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A2.2 (positionnement détaillé : B1.1- global, 51/100)</w:t>
            </w:r>
          </w:p>
        </w:tc>
      </w:tr>
      <w:tr>
        <w:tc>
          <w:tcPr>
            <w:tcW w:type="dxa" w:w="3000"/>
            <w:tcBorders>
              <w:top w:val="single" w:color="D9CFB8" w:sz="4"/>
              <w:left w:val="single" w:color="D9CFB8" w:sz="4"/>
              <w:bottom w:val="single" w:color="D9CFB8" w:sz="4"/>
              <w:right w:val="single" w:color="D9CFB8" w:sz="4"/>
            </w:tcBorders>
            <w:shd w:fill="F3EAD9"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Niveau visé</w:t>
            </w:r>
          </w:p>
        </w:tc>
        <w:tc>
          <w:tcPr>
            <w:tcW w:type="dxa" w:w="7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B1.1 (B1.1+ en fin de parcours)</w:t>
            </w:r>
          </w:p>
        </w:tc>
      </w:tr>
      <w:tr>
        <w:tc>
          <w:tcPr>
            <w:tcW w:type="dxa" w:w="3000"/>
            <w:tcBorders>
              <w:top w:val="single" w:color="D9CFB8" w:sz="4"/>
              <w:left w:val="single" w:color="D9CFB8" w:sz="4"/>
              <w:bottom w:val="single" w:color="D9CFB8" w:sz="4"/>
              <w:right w:val="single" w:color="D9CFB8" w:sz="4"/>
            </w:tcBorders>
            <w:shd w:fill="F3EAD9"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Besoin principal</w:t>
            </w:r>
          </w:p>
        </w:tc>
        <w:tc>
          <w:tcPr>
            <w:tcW w:type="dxa" w:w="7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L'anglais pour voyager</w:t>
            </w:r>
          </w:p>
        </w:tc>
      </w:tr>
      <w:tr>
        <w:tc>
          <w:tcPr>
            <w:tcW w:type="dxa" w:w="3000"/>
            <w:tcBorders>
              <w:top w:val="single" w:color="D9CFB8" w:sz="4"/>
              <w:left w:val="single" w:color="D9CFB8" w:sz="4"/>
              <w:bottom w:val="single" w:color="D9CFB8" w:sz="4"/>
              <w:right w:val="single" w:color="D9CFB8" w:sz="4"/>
            </w:tcBorders>
            <w:shd w:fill="F3EAD9"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Centre d'intérêt</w:t>
            </w:r>
          </w:p>
        </w:tc>
        <w:tc>
          <w:tcPr>
            <w:tcW w:type="dxa" w:w="7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La marche</w:t>
            </w:r>
          </w:p>
        </w:tc>
      </w:tr>
      <w:tr>
        <w:tc>
          <w:tcPr>
            <w:tcW w:type="dxa" w:w="3000"/>
            <w:tcBorders>
              <w:top w:val="single" w:color="D9CFB8" w:sz="4"/>
              <w:left w:val="single" w:color="D9CFB8" w:sz="4"/>
              <w:bottom w:val="single" w:color="D9CFB8" w:sz="4"/>
              <w:right w:val="single" w:color="D9CFB8" w:sz="4"/>
            </w:tcBorders>
            <w:shd w:fill="F3EAD9"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État au démarrage</w:t>
            </w:r>
          </w:p>
        </w:tc>
        <w:tc>
          <w:tcPr>
            <w:tcW w:type="dxa" w:w="7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Prête à apprendre, motivée à progresser</w:t>
            </w:r>
          </w:p>
        </w:tc>
      </w:tr>
    </w:tbl>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Sa voix — auto-présentation</w:t>
      </w:r>
    </w:p>
    <w:p>
      <w:pPr>
        <w:pBdr>
          <w:left w:val="single" w:color="C89B4A" w:sz="24" w:space="8"/>
        </w:pBdr>
        <w:shd w:fill="F3EAD9" w:color="auto" w:val="clear"/>
        <w:spacing w:after="60" w:before="60"/>
        <w:ind w:left="120"/>
      </w:pPr>
      <w:r>
        <w:rPr>
          <w:rFonts w:ascii="Calibri" w:cs="Calibri" w:eastAsia="Calibri" w:hAnsi="Calibri"/>
          <w:i/>
          <w:iCs/>
          <w:color w:val="22312B"/>
          <w:sz w:val="20"/>
          <w:szCs w:val="20"/>
        </w:rPr>
        <w:t xml:space="preserve">“Hello, my name is Françoise. I'm from France, and I live in Ajaccio. I mainly need English for travel. In my free time, I enjoy walking. Today, I feel ready to learn. My main goal for this course is to feel more comfortable speaking in English. I'm looking forward to making progress. Nice to meet you!”</w:t>
      </w:r>
    </w:p>
    <w:p>
      <w:pPr>
        <w:spacing w:after="0" w:before="40"/>
      </w:pPr>
      <w:r>
        <w:rPr>
          <w:rFonts w:ascii="Calibri" w:cs="Calibri" w:eastAsia="Calibri" w:hAnsi="Calibri"/>
          <w:i/>
          <w:iCs/>
          <w:color w:val="5C6F63"/>
          <w:sz w:val="16"/>
          <w:szCs w:val="16"/>
        </w:rPr>
        <w:t xml:space="preserve">Construite avec le Self-Introduction Builder — choix retenus : origine </w:t>
      </w:r>
      <w:r>
        <w:rPr>
          <w:rFonts w:ascii="Calibri" w:cs="Calibri" w:eastAsia="Calibri" w:hAnsi="Calibri"/>
          <w:b/>
          <w:bCs/>
          <w:color w:val="5C6F63"/>
          <w:sz w:val="16"/>
          <w:szCs w:val="16"/>
        </w:rPr>
        <w:t xml:space="preserve">France</w:t>
      </w:r>
      <w:r>
        <w:rPr>
          <w:rFonts w:ascii="Calibri" w:cs="Calibri" w:eastAsia="Calibri" w:hAnsi="Calibri"/>
          <w:i/>
          <w:iCs/>
          <w:color w:val="5C6F63"/>
          <w:sz w:val="16"/>
          <w:szCs w:val="16"/>
        </w:rPr>
        <w:t xml:space="preserve"> · résidence </w:t>
      </w:r>
      <w:r>
        <w:rPr>
          <w:rFonts w:ascii="Calibri" w:cs="Calibri" w:eastAsia="Calibri" w:hAnsi="Calibri"/>
          <w:b/>
          <w:bCs/>
          <w:color w:val="5C6F63"/>
          <w:sz w:val="16"/>
          <w:szCs w:val="16"/>
        </w:rPr>
        <w:t xml:space="preserve">Ajaccio</w:t>
      </w:r>
      <w:r>
        <w:rPr>
          <w:rFonts w:ascii="Calibri" w:cs="Calibri" w:eastAsia="Calibri" w:hAnsi="Calibri"/>
          <w:i/>
          <w:iCs/>
          <w:color w:val="5C6F63"/>
          <w:sz w:val="16"/>
          <w:szCs w:val="16"/>
        </w:rPr>
        <w:t xml:space="preserve"> · besoin </w:t>
      </w:r>
      <w:r>
        <w:rPr>
          <w:rFonts w:ascii="Calibri" w:cs="Calibri" w:eastAsia="Calibri" w:hAnsi="Calibri"/>
          <w:b/>
          <w:bCs/>
          <w:color w:val="5C6F63"/>
          <w:sz w:val="16"/>
          <w:szCs w:val="16"/>
        </w:rPr>
        <w:t xml:space="preserve">travel</w:t>
      </w:r>
      <w:r>
        <w:rPr>
          <w:rFonts w:ascii="Calibri" w:cs="Calibri" w:eastAsia="Calibri" w:hAnsi="Calibri"/>
          <w:i/>
          <w:iCs/>
          <w:color w:val="5C6F63"/>
          <w:sz w:val="16"/>
          <w:szCs w:val="16"/>
        </w:rPr>
        <w:t xml:space="preserve"> · loisir </w:t>
      </w:r>
      <w:r>
        <w:rPr>
          <w:rFonts w:ascii="Calibri" w:cs="Calibri" w:eastAsia="Calibri" w:hAnsi="Calibri"/>
          <w:b/>
          <w:bCs/>
          <w:color w:val="5C6F63"/>
          <w:sz w:val="16"/>
          <w:szCs w:val="16"/>
        </w:rPr>
        <w:t xml:space="preserve">walking</w:t>
      </w:r>
      <w:r>
        <w:rPr>
          <w:rFonts w:ascii="Calibri" w:cs="Calibri" w:eastAsia="Calibri" w:hAnsi="Calibri"/>
          <w:i/>
          <w:iCs/>
          <w:color w:val="5C6F63"/>
          <w:sz w:val="16"/>
          <w:szCs w:val="16"/>
        </w:rPr>
        <w:t xml:space="preserve"> · état </w:t>
      </w:r>
      <w:r>
        <w:rPr>
          <w:rFonts w:ascii="Calibri" w:cs="Calibri" w:eastAsia="Calibri" w:hAnsi="Calibri"/>
          <w:b/>
          <w:bCs/>
          <w:color w:val="5C6F63"/>
          <w:sz w:val="16"/>
          <w:szCs w:val="16"/>
        </w:rPr>
        <w:t xml:space="preserve">ready to learn</w:t>
      </w:r>
      <w:r>
        <w:rPr>
          <w:rFonts w:ascii="Calibri" w:cs="Calibri" w:eastAsia="Calibri" w:hAnsi="Calibri"/>
          <w:i/>
          <w:iCs/>
          <w:color w:val="5C6F63"/>
          <w:sz w:val="16"/>
          <w:szCs w:val="16"/>
        </w:rPr>
        <w:t xml:space="preserve"> · objectif </w:t>
      </w:r>
      <w:r>
        <w:rPr>
          <w:rFonts w:ascii="Calibri" w:cs="Calibri" w:eastAsia="Calibri" w:hAnsi="Calibri"/>
          <w:b/>
          <w:bCs/>
          <w:color w:val="5C6F63"/>
          <w:sz w:val="16"/>
          <w:szCs w:val="16"/>
        </w:rPr>
        <w:t xml:space="preserve">feel more comfortable speaking in English</w:t>
      </w:r>
    </w:p>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Positionnement initial — Séance 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5466"/>
      </w:tblGrid>
      <w:tr>
        <w:tc>
          <w:tcPr>
            <w:tcW w:type="dxa" w:w="20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Compétence</w:t>
            </w:r>
          </w:p>
        </w:tc>
        <w:tc>
          <w:tcPr>
            <w:tcW w:type="dxa" w:w="12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Score</w:t>
            </w:r>
          </w:p>
        </w:tc>
        <w:tc>
          <w:tcPr>
            <w:tcW w:type="dxa" w:w="18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Niveau estimé</w:t>
            </w:r>
          </w:p>
        </w:tc>
        <w:tc>
          <w:tcPr>
            <w:tcW w:type="dxa" w:w="5466"/>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Observation</w:t>
            </w:r>
          </w:p>
        </w:tc>
      </w:tr>
      <w:tr>
        <w:tc>
          <w:tcPr>
            <w:tcW w:type="dxa" w:w="20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Global</w:t>
            </w:r>
          </w:p>
        </w:tc>
        <w:tc>
          <w:tcPr>
            <w:tcW w:type="dxa" w:w="12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45633B"/>
                <w:sz w:val="18"/>
                <w:szCs w:val="18"/>
              </w:rPr>
              <w:t xml:space="preserve">51 / 100</w:t>
            </w:r>
          </w:p>
        </w:tc>
        <w:tc>
          <w:tcPr>
            <w:tcW w:type="dxa" w:w="18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B1.1-</w:t>
            </w:r>
          </w:p>
        </w:tc>
        <w:tc>
          <w:tcPr>
            <w:tcW w:type="dxa" w:w="5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La compréhension est déjà plus forte que la production — une base solide pour progresser.</w:t>
            </w:r>
          </w:p>
        </w:tc>
      </w:tr>
      <w:tr>
        <w:tc>
          <w:tcPr>
            <w:tcW w:type="dxa" w:w="20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Reading (lecture)</w:t>
            </w:r>
          </w:p>
        </w:tc>
        <w:tc>
          <w:tcPr>
            <w:tcW w:type="dxa" w:w="12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45633B"/>
                <w:sz w:val="18"/>
                <w:szCs w:val="18"/>
              </w:rPr>
              <w:t xml:space="preserve">64 / 100</w:t>
            </w:r>
          </w:p>
        </w:tc>
        <w:tc>
          <w:tcPr>
            <w:tcW w:type="dxa" w:w="18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B1.1+</w:t>
            </w:r>
          </w:p>
        </w:tc>
        <w:tc>
          <w:tcPr>
            <w:tcW w:type="dxa" w:w="5466"/>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Identifie très bien les informations clés, les idées principales, les causes et conséquences.</w:t>
            </w:r>
          </w:p>
        </w:tc>
      </w:tr>
      <w:tr>
        <w:tc>
          <w:tcPr>
            <w:tcW w:type="dxa" w:w="20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Listening (écoute)</w:t>
            </w:r>
          </w:p>
        </w:tc>
        <w:tc>
          <w:tcPr>
            <w:tcW w:type="dxa" w:w="12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45633B"/>
                <w:sz w:val="18"/>
                <w:szCs w:val="18"/>
              </w:rPr>
              <w:t xml:space="preserve">49 / 100</w:t>
            </w:r>
          </w:p>
        </w:tc>
        <w:tc>
          <w:tcPr>
            <w:tcW w:type="dxa" w:w="18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A2.2=+</w:t>
            </w:r>
          </w:p>
        </w:tc>
        <w:tc>
          <w:tcPr>
            <w:tcW w:type="dxa" w:w="5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Comprend bien le message général ; à entraîner sur les détails précis.</w:t>
            </w:r>
          </w:p>
        </w:tc>
      </w:tr>
      <w:tr>
        <w:tc>
          <w:tcPr>
            <w:tcW w:type="dxa" w:w="20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Writing (écrit)</w:t>
            </w:r>
          </w:p>
        </w:tc>
        <w:tc>
          <w:tcPr>
            <w:tcW w:type="dxa" w:w="12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45633B"/>
                <w:sz w:val="18"/>
                <w:szCs w:val="18"/>
              </w:rPr>
              <w:t xml:space="preserve">45 / 100</w:t>
            </w:r>
          </w:p>
        </w:tc>
        <w:tc>
          <w:tcPr>
            <w:tcW w:type="dxa" w:w="18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A2.2=</w:t>
            </w:r>
          </w:p>
        </w:tc>
        <w:tc>
          <w:tcPr>
            <w:tcW w:type="dxa" w:w="5466"/>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Sait raconter une histoire personnelle ; à fiabiliser : formes verbales, prépositions, structure des phrases.</w:t>
            </w:r>
          </w:p>
        </w:tc>
      </w:tr>
      <w:tr>
        <w:tc>
          <w:tcPr>
            <w:tcW w:type="dxa" w:w="20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Speaking (oral)</w:t>
            </w:r>
          </w:p>
        </w:tc>
        <w:tc>
          <w:tcPr>
            <w:tcW w:type="dxa" w:w="12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45633B"/>
                <w:sz w:val="18"/>
                <w:szCs w:val="18"/>
              </w:rPr>
              <w:t xml:space="preserve">44 / 100</w:t>
            </w:r>
          </w:p>
        </w:tc>
        <w:tc>
          <w:tcPr>
            <w:tcW w:type="dxa" w:w="18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A2.2=</w:t>
            </w:r>
          </w:p>
        </w:tc>
        <w:tc>
          <w:tcPr>
            <w:tcW w:type="dxa" w:w="54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Message compréhensible ; à développer : fluidité et enchaînement des idées.</w:t>
            </w:r>
          </w:p>
        </w:tc>
      </w:tr>
    </w:tbl>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Compétences linguistiques · A2.2 → B1.1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3133"/>
        <w:gridCol w:w="3133"/>
        <w:gridCol w:w="2400"/>
      </w:tblGrid>
      <w:tr>
        <w:tc>
          <w:tcPr>
            <w:tcW w:type="dxa" w:w="18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Compétence</w:t>
            </w:r>
          </w:p>
        </w:tc>
        <w:tc>
          <w:tcPr>
            <w:tcW w:type="dxa" w:w="3133"/>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A2.2 · à consolider</w:t>
            </w:r>
          </w:p>
        </w:tc>
        <w:tc>
          <w:tcPr>
            <w:tcW w:type="dxa" w:w="3133"/>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B1.1 · objectif visé</w:t>
            </w:r>
          </w:p>
        </w:tc>
        <w:tc>
          <w:tcPr>
            <w:tcW w:type="dxa" w:w="24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Suivi</w:t>
            </w:r>
          </w:p>
        </w:tc>
      </w:tr>
      <w:tr>
        <w:tc>
          <w:tcPr>
            <w:tcW w:type="dxa" w:w="18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Écouter</w:t>
            </w:r>
          </w:p>
        </w:tc>
        <w:tc>
          <w:tcPr>
            <w:tcW w:type="dxa" w:w="31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Comprendre des échanges simples sur des thèmes familiers et suivre des consignes plus complexes.</w:t>
            </w:r>
          </w:p>
        </w:tc>
        <w:tc>
          <w:tcPr>
            <w:tcW w:type="dxa" w:w="31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Comprendre les informations essentielles dans des messages clairs et des discussions simples sur des thèmes familiers.</w:t>
            </w:r>
          </w:p>
        </w:tc>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45633B"/>
                <w:sz w:val="18"/>
                <w:szCs w:val="18"/>
              </w:rPr>
              <w:t xml:space="preserve">Priorité (A2.2 et B1.1)</w:t>
            </w:r>
          </w:p>
        </w:tc>
      </w:tr>
      <w:tr>
        <w:tc>
          <w:tcPr>
            <w:tcW w:type="dxa" w:w="18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Lire</w:t>
            </w:r>
          </w:p>
        </w:tc>
        <w:tc>
          <w:tcPr>
            <w:tcW w:type="dxa" w:w="31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Comprendre des textes plus détaillés, comme des articles courts et des dialogues structurés.</w:t>
            </w:r>
          </w:p>
        </w:tc>
        <w:tc>
          <w:tcPr>
            <w:tcW w:type="dxa" w:w="31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Comprendre des textes narratifs simples ou des informations pratiques comme des consignes.</w:t>
            </w:r>
          </w:p>
        </w:tc>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45633B"/>
                <w:sz w:val="18"/>
                <w:szCs w:val="18"/>
              </w:rPr>
              <w:t xml:space="preserve">Priorité (A2.2) ✓ / À approfondir (B1.1)</w:t>
            </w:r>
          </w:p>
        </w:tc>
      </w:tr>
      <w:tr>
        <w:tc>
          <w:tcPr>
            <w:tcW w:type="dxa" w:w="18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Prendre part à une conversation</w:t>
            </w:r>
          </w:p>
        </w:tc>
        <w:tc>
          <w:tcPr>
            <w:tcW w:type="dxa" w:w="31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Poser des questions et répondre sur des sujets quotidiens avec plus d'aisance.</w:t>
            </w:r>
          </w:p>
        </w:tc>
        <w:tc>
          <w:tcPr>
            <w:tcW w:type="dxa" w:w="31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Discuter de manière simple sur des sujets d'intérêt personnel ou professionnel.</w:t>
            </w:r>
          </w:p>
        </w:tc>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45633B"/>
                <w:sz w:val="18"/>
                <w:szCs w:val="18"/>
              </w:rPr>
              <w:t xml:space="preserve">Priorité (A2.2 et B1.1)</w:t>
            </w:r>
          </w:p>
        </w:tc>
      </w:tr>
      <w:tr>
        <w:tc>
          <w:tcPr>
            <w:tcW w:type="dxa" w:w="18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S'exprimer oralement en continu</w:t>
            </w:r>
          </w:p>
        </w:tc>
        <w:tc>
          <w:tcPr>
            <w:tcW w:type="dxa" w:w="31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Faire des descriptions plus précises et raconter des expériences personnelles.</w:t>
            </w:r>
          </w:p>
        </w:tc>
        <w:tc>
          <w:tcPr>
            <w:tcW w:type="dxa" w:w="31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Raconter des événements passés en reliant des phrases claires.</w:t>
            </w:r>
          </w:p>
        </w:tc>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45633B"/>
                <w:sz w:val="18"/>
                <w:szCs w:val="18"/>
              </w:rPr>
              <w:t xml:space="preserve">Priorité (A2.2 et B1.1)</w:t>
            </w:r>
          </w:p>
        </w:tc>
      </w:tr>
      <w:tr>
        <w:tc>
          <w:tcPr>
            <w:tcW w:type="dxa" w:w="18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Écrire</w:t>
            </w:r>
          </w:p>
        </w:tc>
        <w:tc>
          <w:tcPr>
            <w:tcW w:type="dxa" w:w="31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Rédiger des textes courts plus structurés : e-mails, petites histoires et descriptions.</w:t>
            </w:r>
          </w:p>
        </w:tc>
        <w:tc>
          <w:tcPr>
            <w:tcW w:type="dxa" w:w="31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Rédiger un texte court et structuré sur un sujet familier.</w:t>
            </w:r>
          </w:p>
        </w:tc>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B55A3A"/>
                <w:sz w:val="18"/>
                <w:szCs w:val="18"/>
              </w:rPr>
              <w:t xml:space="preserve">À approfondir (A2.2 et B1.1)</w:t>
            </w:r>
          </w:p>
        </w:tc>
      </w:tr>
    </w:tbl>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Cadre du programme &amp; organisation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5666"/>
        <w:gridCol w:w="2400"/>
      </w:tblGrid>
      <w:tr>
        <w:tc>
          <w:tcPr>
            <w:tcW w:type="dxa" w:w="24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Point</w:t>
            </w:r>
          </w:p>
        </w:tc>
        <w:tc>
          <w:tcPr>
            <w:tcW w:type="dxa" w:w="5666"/>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Description</w:t>
            </w:r>
          </w:p>
        </w:tc>
        <w:tc>
          <w:tcPr>
            <w:tcW w:type="dxa" w:w="24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Statut</w:t>
            </w:r>
          </w:p>
        </w:tc>
      </w:tr>
      <w:tr>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Analyse des besoins</w:t>
            </w:r>
          </w:p>
        </w:tc>
        <w:tc>
          <w:tcPr>
            <w:tcW w:type="dxa" w:w="56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Les besoins personnels et/ou professionnels ont été clarifiés.</w:t>
            </w:r>
          </w:p>
        </w:tc>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color w:val="C89B4A"/>
                <w:sz w:val="18"/>
                <w:szCs w:val="18"/>
              </w:rPr>
              <w:t xml:space="preserve">✓ ★ </w:t>
            </w:r>
            <w:r>
              <w:rPr>
                <w:rFonts w:ascii="Calibri" w:cs="Calibri" w:eastAsia="Calibri" w:hAnsi="Calibri"/>
                <w:color w:val="45633B"/>
                <w:sz w:val="17"/>
                <w:szCs w:val="17"/>
              </w:rPr>
              <w:t xml:space="preserve">Priorité</w:t>
            </w:r>
          </w:p>
        </w:tc>
      </w:tr>
      <w:tr>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Objectifs de la formation</w:t>
            </w:r>
          </w:p>
        </w:tc>
        <w:tc>
          <w:tcPr>
            <w:tcW w:type="dxa" w:w="5666"/>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Le parcours A2.2 → B1.1 et les priorités ont été présentés et compris.</w:t>
            </w:r>
          </w:p>
        </w:tc>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color w:val="C89B4A"/>
                <w:sz w:val="18"/>
                <w:szCs w:val="18"/>
              </w:rPr>
              <w:t xml:space="preserve">✓ ★ </w:t>
            </w:r>
            <w:r>
              <w:rPr>
                <w:rFonts w:ascii="Calibri" w:cs="Calibri" w:eastAsia="Calibri" w:hAnsi="Calibri"/>
                <w:color w:val="45633B"/>
                <w:sz w:val="17"/>
                <w:szCs w:val="17"/>
              </w:rPr>
              <w:t xml:space="preserve">Priorité</w:t>
            </w:r>
          </w:p>
        </w:tc>
      </w:tr>
      <w:tr>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Méthode de travail</w:t>
            </w:r>
          </w:p>
        </w:tc>
        <w:tc>
          <w:tcPr>
            <w:tcW w:type="dxa" w:w="56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Le fonctionnement des cours, la pratique, la répétition et les corrections ont été expliqués.</w:t>
            </w:r>
          </w:p>
        </w:tc>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color w:val="45633B"/>
                <w:sz w:val="18"/>
                <w:szCs w:val="18"/>
              </w:rPr>
              <w:t xml:space="preserve">✓ </w:t>
            </w:r>
            <w:r>
              <w:rPr>
                <w:rFonts w:ascii="Calibri" w:cs="Calibri" w:eastAsia="Calibri" w:hAnsi="Calibri"/>
                <w:color w:val="B55A3A"/>
                <w:sz w:val="17"/>
                <w:szCs w:val="17"/>
              </w:rPr>
              <w:t xml:space="preserve">À approfondir</w:t>
            </w:r>
          </w:p>
        </w:tc>
      </w:tr>
      <w:tr>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Outils et ressources</w:t>
            </w:r>
          </w:p>
        </w:tc>
        <w:tc>
          <w:tcPr>
            <w:tcW w:type="dxa" w:w="5666"/>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Les supports numériques, l'audio, les exercices interactifs et les documents de suivi sont accessibles.</w:t>
            </w:r>
          </w:p>
        </w:tc>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color w:val="C89B4A"/>
                <w:sz w:val="18"/>
                <w:szCs w:val="18"/>
              </w:rPr>
              <w:t xml:space="preserve">✓ ★ </w:t>
            </w:r>
            <w:r>
              <w:rPr>
                <w:rFonts w:ascii="Calibri" w:cs="Calibri" w:eastAsia="Calibri" w:hAnsi="Calibri"/>
                <w:color w:val="45633B"/>
                <w:sz w:val="17"/>
                <w:szCs w:val="17"/>
              </w:rPr>
              <w:t xml:space="preserve">Priorité</w:t>
            </w:r>
          </w:p>
        </w:tc>
      </w:tr>
      <w:tr>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Évaluation et suivi</w:t>
            </w:r>
          </w:p>
        </w:tc>
        <w:tc>
          <w:tcPr>
            <w:tcW w:type="dxa" w:w="56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Le suivi des progrès et les modalités d'évaluation ont été expliqués.</w:t>
            </w:r>
          </w:p>
        </w:tc>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color w:val="C89B4A"/>
                <w:sz w:val="18"/>
                <w:szCs w:val="18"/>
              </w:rPr>
              <w:t xml:space="preserve">✓ ★ </w:t>
            </w:r>
            <w:r>
              <w:rPr>
                <w:rFonts w:ascii="Calibri" w:cs="Calibri" w:eastAsia="Calibri" w:hAnsi="Calibri"/>
                <w:color w:val="45633B"/>
                <w:sz w:val="17"/>
                <w:szCs w:val="17"/>
              </w:rPr>
              <w:t xml:space="preserve">Priorité</w:t>
            </w:r>
          </w:p>
        </w:tc>
      </w:tr>
      <w:tr>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Préférences d'apprentissage</w:t>
            </w:r>
          </w:p>
        </w:tc>
        <w:tc>
          <w:tcPr>
            <w:tcW w:type="dxa" w:w="5666"/>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Les formats qui facilitent l'apprentissage ont été identifiés : écouter, voir, écrire, parler, pratiquer.</w:t>
            </w:r>
          </w:p>
        </w:tc>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color w:val="C89B4A"/>
                <w:sz w:val="18"/>
                <w:szCs w:val="18"/>
              </w:rPr>
              <w:t xml:space="preserve">✓ ★ </w:t>
            </w:r>
            <w:r>
              <w:rPr>
                <w:rFonts w:ascii="Calibri" w:cs="Calibri" w:eastAsia="Calibri" w:hAnsi="Calibri"/>
                <w:color w:val="45633B"/>
                <w:sz w:val="17"/>
                <w:szCs w:val="17"/>
              </w:rPr>
              <w:t xml:space="preserve">Priorité</w:t>
            </w:r>
          </w:p>
        </w:tc>
      </w:tr>
      <w:tr>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Confiance à l'oral</w:t>
            </w:r>
          </w:p>
        </w:tc>
        <w:tc>
          <w:tcPr>
            <w:tcW w:type="dxa" w:w="56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Le niveau de confort actuel à l'oral a été abordé sans pression.</w:t>
            </w:r>
          </w:p>
        </w:tc>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color w:val="C89B4A"/>
                <w:sz w:val="18"/>
                <w:szCs w:val="18"/>
              </w:rPr>
              <w:t xml:space="preserve">✓ ★ </w:t>
            </w:r>
            <w:r>
              <w:rPr>
                <w:rFonts w:ascii="Calibri" w:cs="Calibri" w:eastAsia="Calibri" w:hAnsi="Calibri"/>
                <w:color w:val="45633B"/>
                <w:sz w:val="17"/>
                <w:szCs w:val="17"/>
              </w:rPr>
              <w:t xml:space="preserve">Priorité</w:t>
            </w:r>
          </w:p>
        </w:tc>
      </w:tr>
      <w:tr>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Situations prioritaires</w:t>
            </w:r>
          </w:p>
        </w:tc>
        <w:tc>
          <w:tcPr>
            <w:tcW w:type="dxa" w:w="5666"/>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Les situations réelles à travailler en priorité ont été identifiées.</w:t>
            </w:r>
          </w:p>
        </w:tc>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color w:val="C89B4A"/>
                <w:sz w:val="18"/>
                <w:szCs w:val="18"/>
              </w:rPr>
              <w:t xml:space="preserve">✓ ★ </w:t>
            </w:r>
            <w:r>
              <w:rPr>
                <w:rFonts w:ascii="Calibri" w:cs="Calibri" w:eastAsia="Calibri" w:hAnsi="Calibri"/>
                <w:color w:val="45633B"/>
                <w:sz w:val="17"/>
                <w:szCs w:val="17"/>
              </w:rPr>
              <w:t xml:space="preserve">Priorité</w:t>
            </w:r>
          </w:p>
        </w:tc>
      </w:tr>
    </w:tbl>
    <w:p>
      <w:pPr>
        <w:pBdr>
          <w:left w:val="single" w:color="B55A3A" w:sz="24" w:space="8"/>
        </w:pBdr>
        <w:shd w:fill="F1E2D7" w:color="auto" w:val="clear"/>
        <w:spacing w:after="20" w:before="40"/>
        <w:ind w:left="120"/>
      </w:pPr>
      <w:r>
        <w:rPr>
          <w:rFonts w:ascii="Calibri" w:cs="Calibri" w:eastAsia="Calibri" w:hAnsi="Calibri"/>
          <w:b/>
          <w:bCs/>
          <w:color w:val="B55A3A"/>
          <w:sz w:val="19"/>
          <w:szCs w:val="19"/>
        </w:rPr>
        <w:t xml:space="preserve">⭐ À approfondir en priorité dans les prochaines séances</w:t>
      </w:r>
    </w:p>
    <w:p>
      <w:pPr>
        <w:pStyle w:val="ListParagraph"/>
        <w:numPr>
          <w:ilvl w:val="0"/>
          <w:numId w:val="2"/>
        </w:numPr>
        <w:spacing w:after="60"/>
      </w:pPr>
      <w:r>
        <w:rPr>
          <w:rFonts w:ascii="Calibri" w:cs="Calibri" w:eastAsia="Calibri" w:hAnsi="Calibri"/>
          <w:color w:val="22312B"/>
          <w:sz w:val="18"/>
          <w:szCs w:val="18"/>
        </w:rPr>
        <w:t xml:space="preserve">Méthode de travail — revenir si besoin sur le fonctionnement des cours et des corrections.</w:t>
      </w:r>
    </w:p>
    <w:p>
      <w:pPr>
        <w:pStyle w:val="ListParagraph"/>
        <w:numPr>
          <w:ilvl w:val="0"/>
          <w:numId w:val="2"/>
        </w:numPr>
        <w:spacing w:after="60"/>
      </w:pPr>
      <w:r>
        <w:rPr>
          <w:rFonts w:ascii="Calibri" w:cs="Calibri" w:eastAsia="Calibri" w:hAnsi="Calibri"/>
          <w:color w:val="22312B"/>
          <w:sz w:val="18"/>
          <w:szCs w:val="18"/>
        </w:rPr>
        <w:t xml:space="preserve">Écrire (A2.2) — e-mails, petites histoires et descriptions courtes.</w:t>
      </w:r>
    </w:p>
    <w:p>
      <w:pPr>
        <w:pStyle w:val="ListParagraph"/>
        <w:numPr>
          <w:ilvl w:val="0"/>
          <w:numId w:val="2"/>
        </w:numPr>
        <w:spacing w:after="60"/>
      </w:pPr>
      <w:r>
        <w:rPr>
          <w:rFonts w:ascii="Calibri" w:cs="Calibri" w:eastAsia="Calibri" w:hAnsi="Calibri"/>
          <w:color w:val="22312B"/>
          <w:sz w:val="18"/>
          <w:szCs w:val="18"/>
        </w:rPr>
        <w:t xml:space="preserve">Lire (B1.1) — textes narratifs simples et informations pratiques (consignes).</w:t>
      </w:r>
    </w:p>
    <w:p>
      <w:pPr>
        <w:pStyle w:val="ListParagraph"/>
        <w:numPr>
          <w:ilvl w:val="0"/>
          <w:numId w:val="2"/>
        </w:numPr>
        <w:spacing w:after="60"/>
      </w:pPr>
      <w:r>
        <w:rPr>
          <w:rFonts w:ascii="Calibri" w:cs="Calibri" w:eastAsia="Calibri" w:hAnsi="Calibri"/>
          <w:color w:val="22312B"/>
          <w:sz w:val="18"/>
          <w:szCs w:val="18"/>
        </w:rPr>
        <w:t xml:space="preserve">Écrire (B1.1) — texte court et structuré sur un sujet familier.</w:t>
      </w:r>
    </w:p>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Points de langue travaillés en Leçon 1</w:t>
      </w:r>
    </w:p>
    <w:p>
      <w:pPr>
        <w:spacing w:after="60" w:before="140"/>
      </w:pPr>
      <w:r>
        <w:rPr>
          <w:rFonts w:ascii="Calibri" w:cs="Calibri" w:eastAsia="Calibri" w:hAnsi="Calibri"/>
          <w:b/>
          <w:bCs/>
          <w:i w:val="false"/>
          <w:iCs w:val="false"/>
          <w:color w:val="45633B"/>
          <w:sz w:val="19"/>
          <w:szCs w:val="19"/>
        </w:rPr>
        <w:t xml:space="preserve">Past Simple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c>
          <w:tcPr>
            <w:tcW w:type="dxa" w:w="24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Règle</w:t>
            </w:r>
          </w:p>
        </w:tc>
        <w:tc>
          <w:tcPr>
            <w:tcW w:type="dxa" w:w="8066"/>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Détail</w:t>
            </w:r>
          </w:p>
        </w:tc>
      </w:tr>
      <w:tr>
        <w:tc>
          <w:tcPr>
            <w:tcW w:type="dxa" w:w="2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A · Action terminée</w:t>
            </w:r>
          </w:p>
        </w:tc>
        <w:tc>
          <w:tcPr>
            <w:tcW w:type="dxa" w:w="8066"/>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Past Simple : Sujet + verbe au passé.  </w:t>
            </w:r>
            <w:r>
              <w:rPr>
                <w:rFonts w:ascii="Calibri" w:cs="Calibri" w:eastAsia="Calibri" w:hAnsi="Calibri"/>
                <w:i/>
                <w:iCs/>
                <w:color w:val="45633B"/>
                <w:sz w:val="18"/>
                <w:szCs w:val="18"/>
              </w:rPr>
              <w:t xml:space="preserve">go → went · spend → spent · have → had · work → worked</w:t>
            </w:r>
          </w:p>
        </w:tc>
      </w:tr>
      <w:tr>
        <w:tc>
          <w:tcPr>
            <w:tcW w:type="dxa" w:w="2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13415A"/>
                <w:sz w:val="18"/>
                <w:szCs w:val="18"/>
              </w:rPr>
              <w:t xml:space="preserve">B · Be au passé</w:t>
            </w:r>
          </w:p>
        </w:tc>
        <w:tc>
          <w:tcPr>
            <w:tcW w:type="dxa" w:w="8066"/>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I / he / she / it → was  ·  you / we / they → were.  </w:t>
            </w:r>
            <w:r>
              <w:rPr>
                <w:rFonts w:ascii="Calibri" w:cs="Calibri" w:eastAsia="Calibri" w:hAnsi="Calibri"/>
                <w:i/>
                <w:iCs/>
                <w:color w:val="45633B"/>
                <w:sz w:val="18"/>
                <w:szCs w:val="18"/>
              </w:rPr>
              <w:t xml:space="preserve">"I was there for a year." · "The people were very friendly." · "They were happy."</w:t>
            </w:r>
          </w:p>
        </w:tc>
      </w:tr>
    </w:tbl>
    <w:p>
      <w:pPr>
        <w:spacing w:after="60" w:before="140"/>
      </w:pPr>
      <w:r>
        <w:rPr>
          <w:rFonts w:ascii="Calibri" w:cs="Calibri" w:eastAsia="Calibri" w:hAnsi="Calibri"/>
          <w:b/>
          <w:bCs/>
          <w:i w:val="false"/>
          <w:iCs w:val="false"/>
          <w:color w:val="45633B"/>
          <w:sz w:val="19"/>
          <w:szCs w:val="19"/>
        </w:rPr>
        <w:t xml:space="preserve">Prépositions de lieu / mouvement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4033"/>
        <w:gridCol w:w="5033"/>
      </w:tblGrid>
      <w:tr>
        <w:tc>
          <w:tcPr>
            <w:tcW w:type="dxa" w:w="14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Prép.</w:t>
            </w:r>
          </w:p>
        </w:tc>
        <w:tc>
          <w:tcPr>
            <w:tcW w:type="dxa" w:w="4033"/>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Usage</w:t>
            </w:r>
          </w:p>
        </w:tc>
        <w:tc>
          <w:tcPr>
            <w:tcW w:type="dxa" w:w="5033"/>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Exemples</w:t>
            </w:r>
          </w:p>
        </w:tc>
      </w:tr>
      <w:tr>
        <w:tc>
          <w:tcPr>
            <w:tcW w:type="dxa" w:w="1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B55A3A"/>
                <w:sz w:val="18"/>
                <w:szCs w:val="18"/>
              </w:rPr>
              <w:t xml:space="preserve">TO</w:t>
            </w:r>
          </w:p>
        </w:tc>
        <w:tc>
          <w:tcPr>
            <w:tcW w:type="dxa" w:w="40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destination / mouvement</w:t>
            </w:r>
          </w:p>
        </w:tc>
        <w:tc>
          <w:tcPr>
            <w:tcW w:type="dxa" w:w="50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iCs/>
                <w:color w:val="45633B"/>
                <w:sz w:val="18"/>
                <w:szCs w:val="18"/>
              </w:rPr>
              <w:t xml:space="preserve">go to Vanuatu · travel to Australia</w:t>
            </w:r>
          </w:p>
        </w:tc>
      </w:tr>
      <w:tr>
        <w:tc>
          <w:tcPr>
            <w:tcW w:type="dxa" w:w="1400"/>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val="false"/>
                <w:iCs w:val="false"/>
                <w:color w:val="B55A3A"/>
                <w:sz w:val="18"/>
                <w:szCs w:val="18"/>
              </w:rPr>
              <w:t xml:space="preserve">IN</w:t>
            </w:r>
          </w:p>
        </w:tc>
        <w:tc>
          <w:tcPr>
            <w:tcW w:type="dxa" w:w="40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à l'intérieur d'un lieu / pays / ville</w:t>
            </w:r>
          </w:p>
        </w:tc>
        <w:tc>
          <w:tcPr>
            <w:tcW w:type="dxa" w:w="50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iCs/>
                <w:color w:val="45633B"/>
                <w:sz w:val="18"/>
                <w:szCs w:val="18"/>
              </w:rPr>
              <w:t xml:space="preserve">live in France · stay in Nouméa</w:t>
            </w:r>
          </w:p>
        </w:tc>
      </w:tr>
      <w:tr>
        <w:tc>
          <w:tcPr>
            <w:tcW w:type="dxa" w:w="14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val="false"/>
                <w:iCs w:val="false"/>
                <w:color w:val="B55A3A"/>
                <w:sz w:val="18"/>
                <w:szCs w:val="18"/>
              </w:rPr>
              <w:t xml:space="preserve">AT</w:t>
            </w:r>
          </w:p>
        </w:tc>
        <w:tc>
          <w:tcPr>
            <w:tcW w:type="dxa" w:w="40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val="false"/>
                <w:iCs w:val="false"/>
                <w:color w:val="22312B"/>
                <w:sz w:val="18"/>
                <w:szCs w:val="18"/>
              </w:rPr>
              <w:t xml:space="preserve">lieu de travail / point précis / événement</w:t>
            </w:r>
          </w:p>
        </w:tc>
        <w:tc>
          <w:tcPr>
            <w:tcW w:type="dxa" w:w="50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iCs/>
                <w:color w:val="45633B"/>
                <w:sz w:val="18"/>
                <w:szCs w:val="18"/>
              </w:rPr>
              <w:t xml:space="preserve">work at a factory · meet at the airport</w:t>
            </w:r>
          </w:p>
        </w:tc>
      </w:tr>
    </w:tbl>
    <w:p>
      <w:pPr>
        <w:spacing w:after="60" w:before="140"/>
      </w:pPr>
      <w:r>
        <w:rPr>
          <w:rFonts w:ascii="Calibri" w:cs="Calibri" w:eastAsia="Calibri" w:hAnsi="Calibri"/>
          <w:b/>
          <w:bCs/>
          <w:i w:val="false"/>
          <w:iCs w:val="false"/>
          <w:color w:val="45633B"/>
          <w:sz w:val="19"/>
          <w:szCs w:val="19"/>
        </w:rPr>
        <w:t xml:space="preserve">Sonner plus naturel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Version compréhensible</w:t>
            </w:r>
          </w:p>
        </w:tc>
        <w:tc>
          <w:tcPr>
            <w:tcW w:type="dxa" w:w="5233"/>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Version plus naturelle</w:t>
            </w:r>
          </w:p>
        </w:tc>
      </w:tr>
      <w:tr>
        <w:tc>
          <w:tcPr>
            <w:tcW w:type="dxa" w:w="52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iCs/>
                <w:color w:val="22312B"/>
                <w:sz w:val="18"/>
                <w:szCs w:val="18"/>
              </w:rPr>
              <w:t xml:space="preserve">"I did it with my husband and my son."</w:t>
            </w:r>
          </w:p>
        </w:tc>
        <w:tc>
          <w:tcPr>
            <w:tcW w:type="dxa" w:w="52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iCs/>
                <w:color w:val="45633B"/>
                <w:sz w:val="18"/>
                <w:szCs w:val="18"/>
              </w:rPr>
              <w:t xml:space="preserve">"I went there with my husband and my son."</w:t>
            </w:r>
          </w:p>
        </w:tc>
      </w:tr>
      <w:tr>
        <w:tc>
          <w:tcPr>
            <w:tcW w:type="dxa" w:w="52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iCs/>
                <w:color w:val="22312B"/>
                <w:sz w:val="18"/>
                <w:szCs w:val="18"/>
              </w:rPr>
              <w:t xml:space="preserve">"I went there for working."</w:t>
            </w:r>
          </w:p>
        </w:tc>
        <w:tc>
          <w:tcPr>
            <w:tcW w:type="dxa" w:w="52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iCs/>
                <w:color w:val="45633B"/>
                <w:sz w:val="18"/>
                <w:szCs w:val="18"/>
              </w:rPr>
              <w:t xml:space="preserve">"I went there to work."</w:t>
            </w:r>
          </w:p>
        </w:tc>
      </w:tr>
      <w:tr>
        <w:tc>
          <w:tcPr>
            <w:tcW w:type="dxa" w:w="52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val="false"/>
                <w:bCs w:val="false"/>
                <w:i/>
                <w:iCs/>
                <w:color w:val="22312B"/>
                <w:sz w:val="18"/>
                <w:szCs w:val="18"/>
              </w:rPr>
              <w:t xml:space="preserve">"factory of water"</w:t>
            </w:r>
          </w:p>
        </w:tc>
        <w:tc>
          <w:tcPr>
            <w:tcW w:type="dxa" w:w="52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b/>
                <w:bCs/>
                <w:i/>
                <w:iCs/>
                <w:color w:val="45633B"/>
                <w:sz w:val="18"/>
                <w:szCs w:val="18"/>
              </w:rPr>
              <w:t xml:space="preserve">"a water factory / a water bottling plant"</w:t>
            </w:r>
          </w:p>
        </w:tc>
      </w:tr>
      <w:tr>
        <w:tc>
          <w:tcPr>
            <w:tcW w:type="dxa" w:w="52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val="false"/>
                <w:bCs w:val="false"/>
                <w:i/>
                <w:iCs/>
                <w:color w:val="22312B"/>
                <w:sz w:val="18"/>
                <w:szCs w:val="18"/>
              </w:rPr>
              <w:t xml:space="preserve">"They have no money."</w:t>
            </w:r>
          </w:p>
        </w:tc>
        <w:tc>
          <w:tcPr>
            <w:tcW w:type="dxa" w:w="5233"/>
            <w:tcBorders>
              <w:top w:val="single" w:color="D9CFB8" w:sz="4"/>
              <w:left w:val="single" w:color="D9CFB8" w:sz="4"/>
              <w:bottom w:val="single" w:color="D9CFB8" w:sz="4"/>
              <w:right w:val="single" w:color="D9CFB8" w:sz="4"/>
            </w:tcBorders>
            <w:shd w:fill="FBF7EF" w:color="auto" w:val="clear"/>
            <w:tcMar>
              <w:top w:type="dxa" w:w="90"/>
              <w:left w:type="dxa" w:w="120"/>
              <w:bottom w:type="dxa" w:w="90"/>
              <w:right w:type="dxa" w:w="120"/>
            </w:tcMar>
            <w:vAlign w:val="center"/>
          </w:tcPr>
          <w:p>
            <w:r>
              <w:rPr>
                <w:rFonts w:ascii="Calibri" w:cs="Calibri" w:eastAsia="Calibri" w:hAnsi="Calibri"/>
                <w:b/>
                <w:bCs/>
                <w:i/>
                <w:iCs/>
                <w:color w:val="45633B"/>
                <w:sz w:val="18"/>
                <w:szCs w:val="18"/>
              </w:rPr>
              <w:t xml:space="preserve">"They had very little money."</w:t>
            </w:r>
          </w:p>
        </w:tc>
      </w:tr>
    </w:tbl>
    <w:p>
      <w:pPr>
        <w:spacing w:after="60" w:before="140"/>
      </w:pPr>
      <w:r>
        <w:rPr>
          <w:rFonts w:ascii="Calibri" w:cs="Calibri" w:eastAsia="Calibri" w:hAnsi="Calibri"/>
          <w:b/>
          <w:bCs/>
          <w:i w:val="false"/>
          <w:iCs w:val="false"/>
          <w:color w:val="45633B"/>
          <w:sz w:val="19"/>
          <w:szCs w:val="19"/>
        </w:rPr>
        <w:t xml:space="preserve">Connecteurs</w:t>
      </w:r>
    </w:p>
    <w:p>
      <w:pPr>
        <w:spacing w:after="90"/>
      </w:pPr>
      <w:r>
        <w:rPr>
          <w:rFonts w:ascii="Calibri" w:cs="Calibri" w:eastAsia="Calibri" w:hAnsi="Calibri"/>
          <w:b/>
          <w:bCs/>
          <w:color w:val="13415A"/>
          <w:sz w:val="18"/>
          <w:szCs w:val="18"/>
        </w:rPr>
        <w:t xml:space="preserve">Connecteurs vus en cours : </w:t>
      </w:r>
      <w:r>
        <w:rPr>
          <w:rFonts w:ascii="Calibri" w:cs="Calibri" w:eastAsia="Calibri" w:hAnsi="Calibri"/>
          <w:color w:val="22312B"/>
          <w:sz w:val="18"/>
          <w:szCs w:val="18"/>
        </w:rPr>
        <w:t xml:space="preserve">because (raison) · but (contraste) · so (résultat) · when (lien entre événements) · although (contraste plus fort) · after (séquence)</w:t>
      </w:r>
    </w:p>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Vocabulaire clé</w:t>
      </w:r>
    </w:p>
    <w:p>
      <w:pPr>
        <w:spacing w:after="90"/>
      </w:pPr>
      <w:r>
        <w:rPr>
          <w:rFonts w:ascii="Calibri" w:cs="Calibri" w:eastAsia="Calibri" w:hAnsi="Calibri"/>
          <w:b/>
          <w:bCs/>
          <w:color w:val="13415A"/>
          <w:sz w:val="18"/>
          <w:szCs w:val="18"/>
        </w:rPr>
        <w:t xml:space="preserve">Verbes au passé : </w:t>
      </w:r>
      <w:r>
        <w:rPr>
          <w:rFonts w:ascii="Calibri" w:cs="Calibri" w:eastAsia="Calibri" w:hAnsi="Calibri"/>
          <w:color w:val="22312B"/>
          <w:sz w:val="18"/>
          <w:szCs w:val="18"/>
        </w:rPr>
        <w:t xml:space="preserve">went · spent · was / were · had · worked · stayed · visited · saw · felt</w:t>
      </w:r>
    </w:p>
    <w:p>
      <w:pPr>
        <w:spacing w:after="90"/>
      </w:pPr>
      <w:r>
        <w:rPr>
          <w:rFonts w:ascii="Calibri" w:cs="Calibri" w:eastAsia="Calibri" w:hAnsi="Calibri"/>
          <w:b/>
          <w:bCs/>
          <w:color w:val="13415A"/>
          <w:sz w:val="18"/>
          <w:szCs w:val="18"/>
        </w:rPr>
        <w:t xml:space="preserve">Connecteurs : </w:t>
      </w:r>
      <w:r>
        <w:rPr>
          <w:rFonts w:ascii="Calibri" w:cs="Calibri" w:eastAsia="Calibri" w:hAnsi="Calibri"/>
          <w:color w:val="22312B"/>
          <w:sz w:val="18"/>
          <w:szCs w:val="18"/>
        </w:rPr>
        <w:t xml:space="preserve">because · but · so · when · after · although · however</w:t>
      </w:r>
    </w:p>
    <w:p>
      <w:pPr>
        <w:spacing w:after="90"/>
      </w:pPr>
      <w:r>
        <w:rPr>
          <w:rFonts w:ascii="Calibri" w:cs="Calibri" w:eastAsia="Calibri" w:hAnsi="Calibri"/>
          <w:b/>
          <w:bCs/>
          <w:color w:val="13415A"/>
          <w:sz w:val="18"/>
          <w:szCs w:val="18"/>
        </w:rPr>
        <w:t xml:space="preserve">Pour réfléchir : </w:t>
      </w:r>
      <w:r>
        <w:rPr>
          <w:rFonts w:ascii="Calibri" w:cs="Calibri" w:eastAsia="Calibri" w:hAnsi="Calibri"/>
          <w:color w:val="22312B"/>
          <w:sz w:val="18"/>
          <w:szCs w:val="18"/>
        </w:rPr>
        <w:t xml:space="preserve">"What I remember most is…"  ·  "This experience taught me…"</w:t>
      </w:r>
    </w:p>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Sa matière personnelle — l'expérience de Vanuatu</w:t>
      </w:r>
    </w:p>
    <w:p>
      <w:pPr>
        <w:spacing w:after="80"/>
      </w:pPr>
      <w:r>
        <w:rPr>
          <w:rFonts w:ascii="Calibri" w:cs="Calibri" w:eastAsia="Calibri" w:hAnsi="Calibri"/>
          <w:i/>
          <w:iCs/>
          <w:color w:val="5C6F63"/>
          <w:sz w:val="18"/>
          <w:szCs w:val="18"/>
        </w:rPr>
        <w:t xml:space="preserve">Françoise a vécu environ un an à Vanuatu avec son mari et son fils, où elle travaillait dans une usine d'eau ("water factory"). Ce souvenir est le fil rouge utilisé pour pratiquer le passé, les prépositions et les connecteurs — à réutiliser dans les prochaines séances.</w:t>
      </w:r>
    </w:p>
    <w:p>
      <w:pPr>
        <w:spacing w:after="60" w:before="140"/>
      </w:pPr>
      <w:r>
        <w:rPr>
          <w:rFonts w:ascii="Calibri" w:cs="Calibri" w:eastAsia="Calibri" w:hAnsi="Calibri"/>
          <w:b/>
          <w:bCs/>
          <w:i w:val="false"/>
          <w:iCs w:val="false"/>
          <w:color w:val="45633B"/>
          <w:sz w:val="19"/>
          <w:szCs w:val="19"/>
        </w:rPr>
        <w:t xml:space="preserve">Modèle A2.2 · simple et clair</w:t>
      </w:r>
    </w:p>
    <w:p>
      <w:pPr>
        <w:spacing w:after="80"/>
      </w:pPr>
      <w:r>
        <w:rPr>
          <w:rFonts w:ascii="Calibri" w:cs="Calibri" w:eastAsia="Calibri" w:hAnsi="Calibri"/>
          <w:i/>
          <w:iCs/>
          <w:color w:val="22312B"/>
          <w:sz w:val="18"/>
          <w:szCs w:val="18"/>
        </w:rPr>
        <w:t xml:space="preserve">"About ten years ago, I went to Vanuatu with my husband and my son. I went there to work, and I spent one year there. It was a special experience because the island was beautiful and the people were very friendly."</w:t>
      </w:r>
    </w:p>
    <w:p>
      <w:pPr>
        <w:spacing w:after="60" w:before="140"/>
      </w:pPr>
      <w:r>
        <w:rPr>
          <w:rFonts w:ascii="Calibri" w:cs="Calibri" w:eastAsia="Calibri" w:hAnsi="Calibri"/>
          <w:b/>
          <w:bCs/>
          <w:i w:val="false"/>
          <w:iCs w:val="false"/>
          <w:color w:val="45633B"/>
          <w:sz w:val="19"/>
          <w:szCs w:val="19"/>
        </w:rPr>
        <w:t xml:space="preserve">Modèle B1.1+ · plus connecté</w:t>
      </w:r>
    </w:p>
    <w:p>
      <w:pPr>
        <w:spacing w:after="80"/>
      </w:pPr>
      <w:r>
        <w:rPr>
          <w:rFonts w:ascii="Calibri" w:cs="Calibri" w:eastAsia="Calibri" w:hAnsi="Calibri"/>
          <w:i/>
          <w:iCs/>
          <w:color w:val="22312B"/>
          <w:sz w:val="18"/>
          <w:szCs w:val="18"/>
        </w:rPr>
        <w:t xml:space="preserve">"About ten years ago, I went to Vanuatu with my husband and my son, and I spent a year there. I was working at a water factory. Although many people had very little money, I was struck by how friendly and positive they were. It was a memorable experience because it changed the way I looked at everyday life."</w:t>
      </w:r>
    </w:p>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Modèles de référence — se présenter à l'oral</w:t>
      </w:r>
    </w:p>
    <w:p>
      <w:pPr>
        <w:spacing w:after="80"/>
      </w:pPr>
      <w:r>
        <w:rPr>
          <w:rFonts w:ascii="Calibri" w:cs="Calibri" w:eastAsia="Calibri" w:hAnsi="Calibri"/>
          <w:b/>
          <w:bCs/>
          <w:color w:val="13415A"/>
          <w:sz w:val="18"/>
          <w:szCs w:val="18"/>
        </w:rPr>
        <w:t xml:space="preserve">Question : "Could you introduce yourself and tell me why you would like to improve your English?"</w:t>
      </w:r>
    </w:p>
    <w:p>
      <w:pPr>
        <w:spacing w:after="60" w:before="140"/>
      </w:pPr>
      <w:r>
        <w:rPr>
          <w:rFonts w:ascii="Calibri" w:cs="Calibri" w:eastAsia="Calibri" w:hAnsi="Calibri"/>
          <w:b/>
          <w:bCs/>
          <w:i w:val="false"/>
          <w:iCs w:val="false"/>
          <w:color w:val="45633B"/>
          <w:sz w:val="19"/>
          <w:szCs w:val="19"/>
        </w:rPr>
        <w:t xml:space="preserve">Modèle A2.2</w:t>
      </w:r>
    </w:p>
    <w:p>
      <w:pPr>
        <w:spacing w:after="80"/>
      </w:pPr>
      <w:r>
        <w:rPr>
          <w:rFonts w:ascii="Calibri" w:cs="Calibri" w:eastAsia="Calibri" w:hAnsi="Calibri"/>
          <w:i/>
          <w:iCs/>
          <w:color w:val="22312B"/>
          <w:sz w:val="18"/>
          <w:szCs w:val="18"/>
        </w:rPr>
        <w:t xml:space="preserve">"My name is Françoise. I live in France. I would like to improve my English because I want to speak more easily and understand people better."</w:t>
      </w:r>
    </w:p>
    <w:p>
      <w:pPr>
        <w:spacing w:after="60" w:before="140"/>
      </w:pPr>
      <w:r>
        <w:rPr>
          <w:rFonts w:ascii="Calibri" w:cs="Calibri" w:eastAsia="Calibri" w:hAnsi="Calibri"/>
          <w:b/>
          <w:bCs/>
          <w:i w:val="false"/>
          <w:iCs w:val="false"/>
          <w:color w:val="45633B"/>
          <w:sz w:val="19"/>
          <w:szCs w:val="19"/>
        </w:rPr>
        <w:t xml:space="preserve">Modèle B1.1+</w:t>
      </w:r>
    </w:p>
    <w:p>
      <w:pPr>
        <w:spacing w:after="80"/>
      </w:pPr>
      <w:r>
        <w:rPr>
          <w:rFonts w:ascii="Calibri" w:cs="Calibri" w:eastAsia="Calibri" w:hAnsi="Calibri"/>
          <w:i/>
          <w:iCs/>
          <w:color w:val="22312B"/>
          <w:sz w:val="18"/>
          <w:szCs w:val="18"/>
        </w:rPr>
        <w:t xml:space="preserve">"My name is Françoise, and I'd like to improve my English so that I can communicate more confidently. I already understand quite a lot, but I would like to speak more naturally and make fewer grammar mistakes."</w:t>
      </w:r>
    </w:p>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Mission finale — rappel Séance 1</w:t>
      </w:r>
    </w:p>
    <w:p>
      <w:pPr>
        <w:pStyle w:val="ListParagraph"/>
        <w:numPr>
          <w:ilvl w:val="0"/>
          <w:numId w:val="3"/>
        </w:numPr>
        <w:spacing w:after="70"/>
      </w:pPr>
      <w:r>
        <w:rPr>
          <w:rFonts w:ascii="Calibri" w:cs="Calibri" w:eastAsia="Calibri" w:hAnsi="Calibri"/>
          <w:color w:val="22312B"/>
          <w:sz w:val="18"/>
          <w:szCs w:val="18"/>
        </w:rPr>
        <w:t xml:space="preserve">Se présenter — qui elle est, ce qui compte pour elle, pourquoi l'anglais est important.</w:t>
      </w:r>
    </w:p>
    <w:p>
      <w:pPr>
        <w:pStyle w:val="ListParagraph"/>
        <w:numPr>
          <w:ilvl w:val="0"/>
          <w:numId w:val="3"/>
        </w:numPr>
        <w:spacing w:after="70"/>
      </w:pPr>
      <w:r>
        <w:rPr>
          <w:rFonts w:ascii="Calibri" w:cs="Calibri" w:eastAsia="Calibri" w:hAnsi="Calibri"/>
          <w:color w:val="22312B"/>
          <w:sz w:val="18"/>
          <w:szCs w:val="18"/>
        </w:rPr>
        <w:t xml:space="preserve">Raconter une histoire au passé — utiliser went / spent / was-were et au moins deux connecteurs.</w:t>
      </w:r>
    </w:p>
    <w:p>
      <w:pPr>
        <w:pStyle w:val="ListParagraph"/>
        <w:numPr>
          <w:ilvl w:val="0"/>
          <w:numId w:val="3"/>
        </w:numPr>
        <w:spacing w:after="70"/>
      </w:pPr>
      <w:r>
        <w:rPr>
          <w:rFonts w:ascii="Calibri" w:cs="Calibri" w:eastAsia="Calibri" w:hAnsi="Calibri"/>
          <w:color w:val="22312B"/>
          <w:sz w:val="18"/>
          <w:szCs w:val="18"/>
        </w:rPr>
        <w:t xml:space="preserve">Répondre à la question surprise : "What would you most like to be able to do in English at the end of this training?"</w:t>
      </w:r>
    </w:p>
    <w:p>
      <w:pPr>
        <w:pBdr>
          <w:bottom w:val="single" w:color="C89B4A" w:sz="8" w:space="4"/>
        </w:pBdr>
        <w:spacing w:after="120" w:before="260"/>
      </w:pPr>
      <w:r>
        <w:rPr>
          <w:rFonts w:ascii="Calibri" w:cs="Calibri" w:eastAsia="Calibri" w:hAnsi="Calibri"/>
          <w:sz w:val="24"/>
          <w:szCs w:val="24"/>
        </w:rPr>
        <w:t xml:space="preserve">📝  </w:t>
      </w:r>
      <w:r>
        <w:rPr>
          <w:rFonts w:ascii="Georgia" w:cs="Georgia" w:eastAsia="Georgia" w:hAnsi="Georgia"/>
          <w:b/>
          <w:bCs/>
          <w:color w:val="13415A"/>
          <w:sz w:val="26"/>
          <w:szCs w:val="26"/>
        </w:rPr>
        <w:t xml:space="preserve">Notes de suivi — séances suivantes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4433"/>
        <w:gridCol w:w="4433"/>
      </w:tblGrid>
      <w:tr>
        <w:tc>
          <w:tcPr>
            <w:tcW w:type="dxa" w:w="1600"/>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Date</w:t>
            </w:r>
          </w:p>
        </w:tc>
        <w:tc>
          <w:tcPr>
            <w:tcW w:type="dxa" w:w="4433"/>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Points travaillés</w:t>
            </w:r>
          </w:p>
        </w:tc>
        <w:tc>
          <w:tcPr>
            <w:tcW w:type="dxa" w:w="4433"/>
            <w:tcBorders>
              <w:top w:val="single" w:color="D9CFB8" w:sz="4"/>
              <w:left w:val="single" w:color="D9CFB8" w:sz="4"/>
              <w:bottom w:val="single" w:color="D9CFB8" w:sz="4"/>
              <w:right w:val="single" w:color="D9CFB8" w:sz="4"/>
            </w:tcBorders>
            <w:shd w:fill="13415A"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Observations</w:t>
            </w:r>
          </w:p>
        </w:tc>
      </w:tr>
      <w:tr>
        <w:tc>
          <w:tcPr>
            <w:tcW w:type="dxa" w:w="16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 </w:t>
            </w:r>
          </w:p>
        </w:tc>
        <w:tc>
          <w:tcPr>
            <w:tcW w:type="dxa" w:w="44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 </w:t>
            </w:r>
          </w:p>
        </w:tc>
        <w:tc>
          <w:tcPr>
            <w:tcW w:type="dxa" w:w="44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 </w:t>
            </w:r>
          </w:p>
        </w:tc>
      </w:tr>
      <w:tr>
        <w:tc>
          <w:tcPr>
            <w:tcW w:type="dxa" w:w="16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 </w:t>
            </w:r>
          </w:p>
        </w:tc>
        <w:tc>
          <w:tcPr>
            <w:tcW w:type="dxa" w:w="44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 </w:t>
            </w:r>
          </w:p>
        </w:tc>
        <w:tc>
          <w:tcPr>
            <w:tcW w:type="dxa" w:w="44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 </w:t>
            </w:r>
          </w:p>
        </w:tc>
      </w:tr>
      <w:tr>
        <w:tc>
          <w:tcPr>
            <w:tcW w:type="dxa" w:w="1600"/>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 </w:t>
            </w:r>
          </w:p>
        </w:tc>
        <w:tc>
          <w:tcPr>
            <w:tcW w:type="dxa" w:w="44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 </w:t>
            </w:r>
          </w:p>
        </w:tc>
        <w:tc>
          <w:tcPr>
            <w:tcW w:type="dxa" w:w="4433"/>
            <w:tcBorders>
              <w:top w:val="single" w:color="D9CFB8" w:sz="4"/>
              <w:left w:val="single" w:color="D9CFB8" w:sz="4"/>
              <w:bottom w:val="single" w:color="D9CFB8" w:sz="4"/>
              <w:right w:val="single" w:color="D9CFB8" w:sz="4"/>
            </w:tcBorders>
            <w:shd w:fill="FFFFFF" w:color="auto" w:val="clear"/>
            <w:tcMar>
              <w:top w:type="dxa" w:w="90"/>
              <w:left w:type="dxa" w:w="120"/>
              <w:bottom w:type="dxa" w:w="90"/>
              <w:right w:type="dxa" w:w="120"/>
            </w:tcMar>
            <w:vAlign w:val="center"/>
          </w:tcPr>
          <w:p>
            <w:r>
              <w:rPr>
                <w:rFonts w:ascii="Calibri" w:cs="Calibri" w:eastAsia="Calibri" w:hAnsi="Calibri"/>
                <w:color w:val="22312B"/>
                <w:sz w:val="18"/>
                <w:szCs w:val="18"/>
              </w:rPr>
              <w:t xml:space="preserve"> </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B8" w:sz="4" w:space="6"/>
      </w:pBdr>
      <w:jc w:val="center"/>
    </w:pPr>
    <w:r>
      <w:rPr>
        <w:rFonts w:ascii="Calibri" w:cs="Calibri" w:eastAsia="Calibri" w:hAnsi="Calibri"/>
        <w:color w:val="5C6F63"/>
        <w:sz w:val="14"/>
        <w:szCs w:val="14"/>
      </w:rPr>
      <w:t xml:space="preserve">SpeakEasyTisha  ·  Françoise Bernardini — Fiche de référence  ·  </w:t>
    </w:r>
    <w:r>
      <w:rPr>
        <w:rFonts w:ascii="Calibri" w:cs="Calibri" w:eastAsia="Calibri" w:hAnsi="Calibri"/>
        <w:color w:val="5C6F63"/>
        <w:sz w:val="14"/>
        <w:szCs w:val="14"/>
      </w:rPr>
      <w:t xml:space="preserve">page </w:t>
    </w:r>
    <w:r>
      <w:rPr>
        <w:rFonts w:ascii="Calibri" w:cs="Calibri" w:eastAsia="Calibri" w:hAnsi="Calibri"/>
        <w:color w:val="5C6F63"/>
        <w:sz w:val="14"/>
        <w:szCs w:val="14"/>
      </w:rPr>
      <w:fldChar w:fldCharType="begin"/>
      <w:instrText xml:space="preserve">PAGE</w:instrText>
      <w:fldChar w:fldCharType="separate"/>
      <w:fldChar w:fldCharType="end"/>
    </w:r>
    <w:r>
      <w:rPr>
        <w:rFonts w:ascii="Calibri" w:cs="Calibri" w:eastAsia="Calibri" w:hAnsi="Calibri"/>
        <w:color w:val="5C6F63"/>
        <w:sz w:val="14"/>
        <w:szCs w:val="14"/>
      </w:rPr>
      <w:t xml:space="preserve"> / </w:t>
    </w:r>
    <w:r>
      <w:rPr>
        <w:rFonts w:ascii="Calibri" w:cs="Calibri" w:eastAsia="Calibri" w:hAnsi="Calibri"/>
        <w:color w:val="5C6F63"/>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2026-08-19T15:38:51.854Z</dcterms:created>
  <dcterms:modified xsi:type="dcterms:W3CDTF">2026-08-19T15:38:51.854Z</dcterms:modified>
</cp:coreProperties>
</file>

<file path=docProps/custom.xml><?xml version="1.0" encoding="utf-8"?>
<Properties xmlns="http://schemas.openxmlformats.org/officeDocument/2006/custom-properties" xmlns:vt="http://schemas.openxmlformats.org/officeDocument/2006/docPropsVTypes"/>
</file>