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D93670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D93670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D93670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3ED9D748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D93670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231384C9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D93670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6B291B91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D93670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74B1FC4D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D93670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2D8066E6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</w:p>
    <w:p w14:paraId="54C3748E" w14:textId="7DF358FB" w:rsidR="00E6793A" w:rsidRDefault="00A73FB7" w:rsidP="00BC3907">
      <w:r>
        <w:rPr>
          <w:noProof/>
        </w:rPr>
        <w:drawing>
          <wp:inline distT="0" distB="0" distL="0" distR="0" wp14:anchorId="7BA98B44" wp14:editId="64B8FD7D">
            <wp:extent cx="6120130" cy="953770"/>
            <wp:effectExtent l="0" t="0" r="0" b="0"/>
            <wp:docPr id="1775140240" name="Immagine 4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40240" name="Immagine 4" descr="Immagine che contiene testo, Carattere, linea, schermat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0DD1" w14:textId="776BE941" w:rsidR="00A73FB7" w:rsidRDefault="00A73FB7" w:rsidP="00A73FB7">
      <w:pPr>
        <w:pStyle w:val="Citazioneintensa"/>
      </w:pPr>
      <w:r>
        <w:t>Card relative alle coperture assicurative</w:t>
      </w:r>
    </w:p>
    <w:p w14:paraId="145C0A5E" w14:textId="4B256D3C" w:rsidR="00A73FB7" w:rsidRDefault="00A73FB7" w:rsidP="00A73FB7">
      <w:r>
        <w:t>Nell’immagine vediamo due card relative a due coperture assicurative, le quali contengono rispettivamente le informazioni:</w:t>
      </w:r>
    </w:p>
    <w:p w14:paraId="281B8962" w14:textId="4D39E80D" w:rsidR="00A73FB7" w:rsidRDefault="00D11FB2" w:rsidP="00D11FB2">
      <w:pPr>
        <w:pStyle w:val="Paragrafoelenco"/>
        <w:numPr>
          <w:ilvl w:val="0"/>
          <w:numId w:val="14"/>
        </w:numPr>
      </w:pPr>
      <w:r>
        <w:t>Icona del prodotto.</w:t>
      </w:r>
    </w:p>
    <w:p w14:paraId="770F4CDE" w14:textId="41882678" w:rsidR="00D11FB2" w:rsidRDefault="00D11FB2" w:rsidP="00D11FB2">
      <w:pPr>
        <w:pStyle w:val="Paragrafoelenco"/>
        <w:numPr>
          <w:ilvl w:val="0"/>
          <w:numId w:val="14"/>
        </w:numPr>
      </w:pPr>
      <w:r>
        <w:t>Nome del prodotto.</w:t>
      </w:r>
    </w:p>
    <w:p w14:paraId="103166D9" w14:textId="34D502E0" w:rsidR="00D11FB2" w:rsidRDefault="00D11FB2" w:rsidP="00D11FB2">
      <w:pPr>
        <w:pStyle w:val="Paragrafoelenco"/>
        <w:numPr>
          <w:ilvl w:val="0"/>
          <w:numId w:val="14"/>
        </w:numPr>
      </w:pPr>
      <w:r>
        <w:t>Categoria o linea di vendita del prodotto.</w:t>
      </w:r>
    </w:p>
    <w:p w14:paraId="397D05B7" w14:textId="6ADC1973" w:rsidR="00D11FB2" w:rsidRDefault="00D11FB2" w:rsidP="00D11FB2">
      <w:pPr>
        <w:pStyle w:val="Paragrafoelenco"/>
        <w:numPr>
          <w:ilvl w:val="0"/>
          <w:numId w:val="14"/>
        </w:numPr>
      </w:pPr>
      <w:r>
        <w:t>Per l’icona, il nome e la categoria del prodotto è stato utilizzato il colore definito per la categoria.</w:t>
      </w:r>
    </w:p>
    <w:p w14:paraId="7A016F4C" w14:textId="074FB845" w:rsidR="00D11FB2" w:rsidRDefault="00D11FB2" w:rsidP="00D11FB2">
      <w:pPr>
        <w:pStyle w:val="Paragrafoelenco"/>
        <w:numPr>
          <w:ilvl w:val="0"/>
          <w:numId w:val="14"/>
        </w:numPr>
      </w:pPr>
      <w:r>
        <w:t>Descrizione breve del prodotto.</w:t>
      </w:r>
    </w:p>
    <w:p w14:paraId="5072312F" w14:textId="73F13373" w:rsidR="00D11FB2" w:rsidRPr="00A73FB7" w:rsidRDefault="00D11FB2" w:rsidP="00D11FB2">
      <w:pPr>
        <w:pStyle w:val="Paragrafoelenco"/>
        <w:numPr>
          <w:ilvl w:val="0"/>
          <w:numId w:val="14"/>
        </w:numPr>
      </w:pPr>
      <w:r>
        <w:t xml:space="preserve">Spunta </w:t>
      </w:r>
      <w:r>
        <w:rPr>
          <w:i/>
          <w:iCs/>
        </w:rPr>
        <w:t>(check)</w:t>
      </w:r>
      <w:r>
        <w:t xml:space="preserve"> che permette di selezionare/deselezionare il prodotto.</w:t>
      </w:r>
    </w:p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16090FDB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D93670">
      <w:pPr>
        <w:pStyle w:val="Citazioneintensa"/>
      </w:pPr>
      <w:r>
        <w:t>Coperture selezionate</w:t>
      </w:r>
    </w:p>
    <w:p w14:paraId="593C7522" w14:textId="77777777" w:rsidR="00986E87" w:rsidRDefault="00986E87">
      <w:pPr>
        <w:jc w:val="left"/>
        <w:rPr>
          <w:rFonts w:asciiTheme="majorHAnsi" w:eastAsiaTheme="majorEastAsia" w:hAnsiTheme="majorHAnsi" w:cstheme="majorBidi"/>
          <w:color w:val="215E99" w:themeColor="text2" w:themeTint="BF"/>
          <w:spacing w:val="-10"/>
          <w:kern w:val="28"/>
          <w:sz w:val="72"/>
          <w:szCs w:val="56"/>
        </w:rPr>
      </w:pPr>
      <w:r>
        <w:br w:type="page"/>
      </w:r>
    </w:p>
    <w:p w14:paraId="1590B415" w14:textId="28016996" w:rsidR="00BB089C" w:rsidRDefault="00BB089C" w:rsidP="00BB089C">
      <w:pPr>
        <w:pStyle w:val="Titolo"/>
      </w:pPr>
      <w:r>
        <w:lastRenderedPageBreak/>
        <w:t>I sistemi di raccomandazione</w:t>
      </w:r>
    </w:p>
    <w:p w14:paraId="2C71B250" w14:textId="6CD623EB" w:rsidR="0061489A" w:rsidRDefault="0035778B" w:rsidP="00B23A4B">
      <w:r>
        <w:t>L’obbiettivo di un sistema di raccomandazione</w:t>
      </w:r>
      <w:r>
        <w:rPr>
          <w:rStyle w:val="Rimandonotadichiusura"/>
        </w:rPr>
        <w:endnoteReference w:id="1"/>
      </w:r>
      <w:r w:rsidR="008448CB">
        <w:t xml:space="preserve"> consiste nel generare suggerimenti significativi per l’utente del sistema che possano essere di suo interesse. </w:t>
      </w:r>
      <w:r w:rsidR="008448CB">
        <w:rPr>
          <w:i/>
          <w:iCs/>
        </w:rPr>
        <w:t>I libri suggeriti da Amazon oppure il film su Netflix, rappresentano un chiaro esempio del funzionamento di un sistema di raccomandazione</w:t>
      </w:r>
      <w:r w:rsidR="008448CB">
        <w:t xml:space="preserve">. L’architettura del sistema dipende dal dominio applicativo, dai dati disponibili e dalle modalità con le quali l’utente interagisce con l’applicativo. </w:t>
      </w:r>
      <w:r w:rsidR="008448CB">
        <w:rPr>
          <w:i/>
          <w:iCs/>
        </w:rPr>
        <w:t>Su Netflix dopo aver visto un film è possibile esprimere una valutazione di gradimento</w:t>
      </w:r>
      <w:r w:rsidR="008448CB">
        <w:t xml:space="preserve">. Le valutazioni che esprime l’utente vengono memorizzate all’interno di una matrice </w:t>
      </w:r>
      <w:r w:rsidR="008448CB">
        <w:rPr>
          <w:i/>
          <w:iCs/>
        </w:rPr>
        <w:t>users-items</w:t>
      </w:r>
      <w:r w:rsidR="008448CB">
        <w:t>.</w:t>
      </w:r>
    </w:p>
    <w:p w14:paraId="71EF8E58" w14:textId="4A5EEF04" w:rsidR="008448CB" w:rsidRDefault="00EF123F" w:rsidP="00B23A4B">
      <w:r>
        <w:rPr>
          <w:noProof/>
        </w:rPr>
        <w:drawing>
          <wp:inline distT="0" distB="0" distL="0" distR="0" wp14:anchorId="3704556E" wp14:editId="629AE78A">
            <wp:extent cx="6120130" cy="3850640"/>
            <wp:effectExtent l="0" t="0" r="0" b="0"/>
            <wp:docPr id="1017287549" name="Immagine 2" descr="Immagine che contiene numero, schermata, parole crociate, calendar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7549" name="Immagine 2" descr="Immagine che contiene numero, schermata, parole crociate, calendari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6BE" w14:textId="00383449" w:rsidR="00EF123F" w:rsidRDefault="00EF123F" w:rsidP="00EF123F">
      <w:pPr>
        <w:pStyle w:val="Citazioneintensa"/>
      </w:pPr>
      <w:r>
        <w:t>Matrice Users-Items</w:t>
      </w:r>
    </w:p>
    <w:p w14:paraId="11D98907" w14:textId="7468B340" w:rsidR="00EF123F" w:rsidRPr="00A73FB7" w:rsidRDefault="00EF123F" w:rsidP="00EF123F">
      <w:pPr>
        <w:rPr>
          <w:vertAlign w:val="subscript"/>
        </w:rPr>
      </w:pPr>
      <w:r>
        <w:t xml:space="preserve">La matrice users-items rappresenta le preferenze degli utenti </w:t>
      </w:r>
      <w:r>
        <w:rPr>
          <w:i/>
          <w:iCs/>
        </w:rPr>
        <w:t>(n in questo caso 5)</w:t>
      </w:r>
      <w:r>
        <w:t xml:space="preserve"> per gli items del sistema </w:t>
      </w:r>
      <w:r>
        <w:rPr>
          <w:i/>
          <w:iCs/>
        </w:rPr>
        <w:t>(m in questo caso 6)</w:t>
      </w:r>
      <w:r w:rsidRPr="00EF123F">
        <w:t>.</w:t>
      </w:r>
      <w:r>
        <w:t xml:space="preserve"> O</w:t>
      </w:r>
      <w:r w:rsidRPr="00EF123F">
        <w:t xml:space="preserve">gni cella </w:t>
      </w:r>
      <w:r w:rsidRPr="00A73FB7">
        <w:rPr>
          <w:b/>
          <w:bCs/>
        </w:rPr>
        <w:t>r</w:t>
      </w:r>
      <w:r w:rsidRPr="00A73FB7">
        <w:rPr>
          <w:b/>
          <w:bCs/>
          <w:vertAlign w:val="subscript"/>
        </w:rPr>
        <w:t>ij</w:t>
      </w:r>
      <w:r>
        <w:t xml:space="preserve"> </w:t>
      </w:r>
      <w:r>
        <w:rPr>
          <w:i/>
          <w:iCs/>
        </w:rPr>
        <w:t>con i  che va da 1 a 5 e j che va da 1 a 6</w:t>
      </w:r>
      <w:r>
        <w:t xml:space="preserve"> indica la valutazione dell’utente </w:t>
      </w:r>
      <w:r>
        <w:rPr>
          <w:i/>
          <w:iCs/>
        </w:rPr>
        <w:t>(i)</w:t>
      </w:r>
      <w:r>
        <w:t xml:space="preserve"> per l’item </w:t>
      </w:r>
      <w:r>
        <w:rPr>
          <w:i/>
          <w:iCs/>
        </w:rPr>
        <w:t>(j)</w:t>
      </w:r>
      <w:r w:rsidR="00A73FB7">
        <w:t>. La matrice users-items è una matrice sparsa, l’obbiettivo di un sistema di raccomandazione è calcolare la valutazione di un generico utente per gli items sui quali non ha espresso alcuna valutazione.</w:t>
      </w:r>
    </w:p>
    <w:p w14:paraId="17B18B1F" w14:textId="1196D777" w:rsidR="00B23A4B" w:rsidRDefault="00086FAB" w:rsidP="00B23A4B">
      <w:r>
        <w:t>Ci sono diversi approcci ai sistemi di raccomandazione che si possono classificare in</w:t>
      </w:r>
      <w:r w:rsidR="00B23A4B">
        <w:t>:</w:t>
      </w:r>
    </w:p>
    <w:p w14:paraId="35B1E7E9" w14:textId="77777777" w:rsidR="0070246F" w:rsidRPr="00B23A4B" w:rsidRDefault="0070246F" w:rsidP="0070246F">
      <w:pPr>
        <w:pStyle w:val="Paragrafoelenco"/>
        <w:numPr>
          <w:ilvl w:val="0"/>
          <w:numId w:val="9"/>
        </w:numPr>
      </w:pPr>
      <w:r>
        <w:t xml:space="preserve">Content based recommending: nei sistemi basati sul contenuto gli </w:t>
      </w:r>
      <w:r>
        <w:rPr>
          <w:i/>
          <w:iCs/>
        </w:rPr>
        <w:t>items</w:t>
      </w:r>
      <w:r>
        <w:t xml:space="preserve"> che vengono suggeriti all’utente hanno un contenuto simile rispetto a quelli che in passato l’utente ha dato una valutazione positiva oppure ha acquistato.</w:t>
      </w:r>
    </w:p>
    <w:p w14:paraId="0FA45649" w14:textId="2CD582D6" w:rsidR="00B23A4B" w:rsidRDefault="00086FAB" w:rsidP="00B23A4B">
      <w:pPr>
        <w:pStyle w:val="Paragrafoelenco"/>
        <w:numPr>
          <w:ilvl w:val="0"/>
          <w:numId w:val="9"/>
        </w:numPr>
      </w:pPr>
      <w:r>
        <w:lastRenderedPageBreak/>
        <w:t xml:space="preserve">Collaborative Filtering Methods: nei sistemi collaborativi gli </w:t>
      </w:r>
      <w:r w:rsidRPr="00086FAB">
        <w:rPr>
          <w:i/>
          <w:iCs/>
        </w:rPr>
        <w:t>items</w:t>
      </w:r>
      <w:r>
        <w:t xml:space="preserve"> suggeriti all’</w:t>
      </w:r>
      <w:r w:rsidRPr="00086FAB">
        <w:rPr>
          <w:i/>
          <w:iCs/>
        </w:rPr>
        <w:t>utente</w:t>
      </w:r>
      <w:r>
        <w:t xml:space="preserve"> sono basati sulle valutazioni complessive degli utenti. </w:t>
      </w:r>
    </w:p>
    <w:p w14:paraId="03EA4CB0" w14:textId="2F97677C" w:rsidR="00B23A4B" w:rsidRPr="00B23A4B" w:rsidRDefault="0070246F" w:rsidP="00B23A4B">
      <w:pPr>
        <w:pStyle w:val="Paragrafoelenco"/>
        <w:numPr>
          <w:ilvl w:val="0"/>
          <w:numId w:val="9"/>
        </w:numPr>
      </w:pPr>
      <w:r>
        <w:t>Hybrid approaches: nei metodi ibridi vengono combinate le strategie viste sia per l’approccio basato sul contenuto che quelle basate sui sistemi collaborativi.</w:t>
      </w:r>
    </w:p>
    <w:p w14:paraId="7601A033" w14:textId="40C531CC" w:rsidR="00B23A4B" w:rsidRDefault="00A73FB7" w:rsidP="00B23A4B">
      <w:r>
        <w:rPr>
          <w:noProof/>
        </w:rPr>
        <w:drawing>
          <wp:inline distT="0" distB="0" distL="0" distR="0" wp14:anchorId="681438B9" wp14:editId="01F4B1AF">
            <wp:extent cx="6120130" cy="4303395"/>
            <wp:effectExtent l="0" t="0" r="0" b="1905"/>
            <wp:docPr id="2128761010" name="Immagine 3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1010" name="Immagine 3" descr="Immagine che contiene testo, schermata, linea, Caratte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D93670">
      <w:pPr>
        <w:pStyle w:val="Citazioneintensa"/>
      </w:pPr>
      <w:r>
        <w:t>Tipologia sistemi di raccomandazione</w:t>
      </w:r>
    </w:p>
    <w:p w14:paraId="2C1CDEBF" w14:textId="51CD7E1F" w:rsidR="00454E1F" w:rsidRDefault="00454E1F" w:rsidP="00454E1F">
      <w:pPr>
        <w:pStyle w:val="Titolo7"/>
      </w:pPr>
      <w:r>
        <w:t>Sistemi basati sul contenuto</w:t>
      </w:r>
    </w:p>
    <w:p w14:paraId="5D5A1D4A" w14:textId="49C88180" w:rsidR="0019499F" w:rsidRDefault="00992328" w:rsidP="0019499F">
      <w:r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554FAD84" w:rsidR="0019499F" w:rsidRDefault="0019499F" w:rsidP="0019499F">
      <w:r>
        <w:t xml:space="preserve">In ambito assicurativo la base di conoscenza che </w:t>
      </w:r>
      <w:r w:rsidR="005605D2">
        <w:t>si può creare</w:t>
      </w:r>
      <w:r>
        <w:t xml:space="preserve"> potrebbe essere costituita </w:t>
      </w:r>
      <w:r w:rsidR="005605D2">
        <w:t>da: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766644C4" w14:textId="6AB59C85" w:rsidR="00B20739" w:rsidRDefault="0019499F" w:rsidP="00AE7628">
      <w:pPr>
        <w:pStyle w:val="Paragrafoelenco"/>
        <w:numPr>
          <w:ilvl w:val="0"/>
          <w:numId w:val="11"/>
        </w:numPr>
      </w:pPr>
      <w:r>
        <w:t>Garanzie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t>Descrizione polizza</w:t>
      </w:r>
      <w:r w:rsidR="0019499F">
        <w:t xml:space="preserve"> </w:t>
      </w:r>
    </w:p>
    <w:p w14:paraId="74DAEDB9" w14:textId="77777777" w:rsidR="0055148D" w:rsidRDefault="00B20739" w:rsidP="00B20739">
      <w:r>
        <w:lastRenderedPageBreak/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86E87">
        <w:t xml:space="preserve">, Il TF-IDF è costituito dal </w:t>
      </w:r>
      <w:r w:rsidR="00986E87">
        <w:rPr>
          <w:i/>
          <w:iCs/>
        </w:rPr>
        <w:t xml:space="preserve">TF - </w:t>
      </w:r>
      <w:r w:rsidR="00992328" w:rsidRPr="00B20739">
        <w:rPr>
          <w:i/>
          <w:iCs/>
        </w:rPr>
        <w:t>Term Frequency</w:t>
      </w:r>
      <w:r w:rsidR="00986E87">
        <w:t xml:space="preserve"> e dall’</w:t>
      </w:r>
      <w:r w:rsidR="00986E87" w:rsidRPr="00986E87">
        <w:rPr>
          <w:i/>
          <w:iCs/>
        </w:rPr>
        <w:t>IDF -</w:t>
      </w:r>
      <w:r w:rsidR="00992328" w:rsidRPr="00986E87">
        <w:rPr>
          <w:i/>
          <w:iCs/>
        </w:rPr>
        <w:t xml:space="preserve"> </w:t>
      </w:r>
      <w:r w:rsidR="00992328" w:rsidRPr="00B20739">
        <w:rPr>
          <w:i/>
          <w:iCs/>
        </w:rPr>
        <w:t>Inver</w:t>
      </w:r>
      <w:r w:rsidR="0055148D">
        <w:rPr>
          <w:i/>
          <w:iCs/>
        </w:rPr>
        <w:t>s</w:t>
      </w:r>
      <w:r w:rsidR="00992328" w:rsidRPr="00B20739">
        <w:rPr>
          <w:i/>
          <w:iCs/>
        </w:rPr>
        <w:t>e Document Frequency</w:t>
      </w:r>
      <w:r w:rsidR="00D3059B">
        <w:t>.</w:t>
      </w:r>
      <w:r w:rsidR="00986E87">
        <w:t xml:space="preserve"> </w:t>
      </w:r>
    </w:p>
    <w:p w14:paraId="32C170D4" w14:textId="4D1C8922" w:rsidR="00986E87" w:rsidRDefault="00986E87" w:rsidP="00B20739">
      <w:r>
        <w:t xml:space="preserve">Il </w:t>
      </w:r>
      <w:r>
        <w:rPr>
          <w:b/>
          <w:bCs/>
        </w:rPr>
        <w:t>Term Frequency</w:t>
      </w:r>
      <w:r>
        <w:t xml:space="preserve"> di un termine viene calcolato come il rapporto tra </w:t>
      </w:r>
      <w:r w:rsidRPr="00986E87">
        <w:rPr>
          <w:i/>
          <w:iCs/>
        </w:rPr>
        <w:t>“il numero di volte che quel termine compare all’interno di un documento”</w:t>
      </w:r>
      <w:r>
        <w:t xml:space="preserve"> ed </w:t>
      </w:r>
      <w:r>
        <w:rPr>
          <w:i/>
          <w:iCs/>
        </w:rPr>
        <w:t>“il numero totale d</w:t>
      </w:r>
      <w:r w:rsidR="005605D2">
        <w:rPr>
          <w:i/>
          <w:iCs/>
        </w:rPr>
        <w:t>e</w:t>
      </w:r>
      <w:r>
        <w:rPr>
          <w:i/>
          <w:iCs/>
        </w:rPr>
        <w:t xml:space="preserve">i termini </w:t>
      </w:r>
      <w:r w:rsidR="005605D2">
        <w:rPr>
          <w:i/>
          <w:iCs/>
        </w:rPr>
        <w:t>presenti al</w:t>
      </w:r>
      <w:r>
        <w:rPr>
          <w:i/>
          <w:iCs/>
        </w:rPr>
        <w:t>l</w:t>
      </w:r>
      <w:r w:rsidR="005605D2">
        <w:rPr>
          <w:i/>
          <w:iCs/>
        </w:rPr>
        <w:t>’interno del</w:t>
      </w:r>
      <w:r>
        <w:rPr>
          <w:i/>
          <w:iCs/>
        </w:rPr>
        <w:t xml:space="preserve"> documento”</w:t>
      </w:r>
      <w:r>
        <w:t>.</w:t>
      </w:r>
    </w:p>
    <w:p w14:paraId="22A90C9D" w14:textId="2483ED84" w:rsidR="00986E87" w:rsidRDefault="00002515" w:rsidP="00002515">
      <w:pPr>
        <w:jc w:val="center"/>
      </w:pPr>
      <w:r>
        <w:rPr>
          <w:noProof/>
        </w:rPr>
        <w:drawing>
          <wp:inline distT="0" distB="0" distL="0" distR="0" wp14:anchorId="743BB445" wp14:editId="73E02F0D">
            <wp:extent cx="5368413" cy="642434"/>
            <wp:effectExtent l="0" t="0" r="3810" b="5715"/>
            <wp:docPr id="97200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96" name="Immagine 9720016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44" w14:textId="39895346" w:rsidR="00002515" w:rsidRPr="00A60F95" w:rsidRDefault="00A60F95" w:rsidP="00D93670">
      <w:pPr>
        <w:pStyle w:val="Citazioneintensa"/>
        <w:rPr>
          <w:i/>
        </w:rPr>
      </w:pPr>
      <w:r>
        <w:t xml:space="preserve">Formula per il calcolo di TF – </w:t>
      </w:r>
      <w:r>
        <w:rPr>
          <w:i/>
        </w:rPr>
        <w:t>Term Frequency</w:t>
      </w:r>
    </w:p>
    <w:p w14:paraId="3A24E8F7" w14:textId="77777777" w:rsidR="00F365CE" w:rsidRDefault="0055148D" w:rsidP="00B20739">
      <w:r>
        <w:t>L’</w:t>
      </w:r>
      <w:r>
        <w:rPr>
          <w:b/>
          <w:bCs/>
        </w:rPr>
        <w:t>Inverse Document Frequency</w:t>
      </w:r>
      <w:r>
        <w:t xml:space="preserve"> di un termine viene calcolato come il </w:t>
      </w:r>
      <w:r w:rsidRPr="0055148D">
        <w:rPr>
          <w:i/>
          <w:iCs/>
        </w:rPr>
        <w:t>logaritmo</w:t>
      </w:r>
      <w:r>
        <w:t xml:space="preserve"> del rapporto tra </w:t>
      </w:r>
      <w:r>
        <w:rPr>
          <w:i/>
          <w:iCs/>
        </w:rPr>
        <w:t>“il numero totale dei documenti”</w:t>
      </w:r>
      <w:r>
        <w:t xml:space="preserve"> ed </w:t>
      </w:r>
      <w:r>
        <w:rPr>
          <w:i/>
          <w:iCs/>
        </w:rPr>
        <w:t>“il numero di documenti nei quali compare il termine analizzato”</w:t>
      </w:r>
      <w:r w:rsidR="00F365CE">
        <w:t>.</w:t>
      </w:r>
    </w:p>
    <w:p w14:paraId="748DA039" w14:textId="54E53376" w:rsidR="0055148D" w:rsidRDefault="00F365CE" w:rsidP="00F365CE">
      <w:pPr>
        <w:jc w:val="center"/>
      </w:pPr>
      <w:r>
        <w:rPr>
          <w:noProof/>
        </w:rPr>
        <w:drawing>
          <wp:inline distT="0" distB="0" distL="0" distR="0" wp14:anchorId="1F572DC7" wp14:editId="7A38175D">
            <wp:extent cx="5367600" cy="558000"/>
            <wp:effectExtent l="0" t="0" r="5080" b="0"/>
            <wp:docPr id="204504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722" name="Immagine 2045047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4B8" w14:textId="42EFB185" w:rsidR="00F365CE" w:rsidRPr="00F365CE" w:rsidRDefault="00F365CE" w:rsidP="00D93670">
      <w:pPr>
        <w:pStyle w:val="Citazioneintensa"/>
      </w:pPr>
      <w:r>
        <w:t>Formula per il calcolo di IDF – Inverse Document Frequency</w:t>
      </w:r>
    </w:p>
    <w:p w14:paraId="7245EFD5" w14:textId="36E7F03C" w:rsidR="004A2269" w:rsidRDefault="004A2269" w:rsidP="00B20739">
      <w:r>
        <w:t xml:space="preserve">Il </w:t>
      </w:r>
      <w:r>
        <w:rPr>
          <w:b/>
          <w:bCs/>
        </w:rPr>
        <w:t>TF-</w:t>
      </w:r>
      <w:r w:rsidRPr="004A2269">
        <w:rPr>
          <w:b/>
          <w:bCs/>
        </w:rPr>
        <w:t>IDF</w:t>
      </w:r>
      <w:r w:rsidRPr="004A2269">
        <w:t xml:space="preserve"> viene</w:t>
      </w:r>
      <w:r>
        <w:t xml:space="preserve"> calcolato come il prodotto degli elementi presentati.</w:t>
      </w:r>
    </w:p>
    <w:p w14:paraId="50F448FA" w14:textId="7302BA0A" w:rsidR="004A2269" w:rsidRDefault="00C952E2" w:rsidP="00C952E2">
      <w:pPr>
        <w:jc w:val="center"/>
      </w:pPr>
      <w:r>
        <w:rPr>
          <w:noProof/>
        </w:rPr>
        <w:drawing>
          <wp:inline distT="0" distB="0" distL="0" distR="0" wp14:anchorId="4AA7FF41" wp14:editId="7FF3A519">
            <wp:extent cx="3905250" cy="762000"/>
            <wp:effectExtent l="0" t="0" r="0" b="0"/>
            <wp:docPr id="814662901" name="Immagine 3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901" name="Immagine 3" descr="Immagine che contiene testo, Carattere, bianco, Elementi grafici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2D2" w14:textId="43B10E4B" w:rsidR="00C952E2" w:rsidRDefault="00C952E2" w:rsidP="00D93670">
      <w:pPr>
        <w:pStyle w:val="Citazioneintensa"/>
      </w:pPr>
      <w:r>
        <w:t>Formula per il calcolo di TF-IDF</w:t>
      </w:r>
    </w:p>
    <w:p w14:paraId="551BBC18" w14:textId="34DB97EE" w:rsidR="00C952E2" w:rsidRDefault="00C952E2" w:rsidP="00C952E2">
      <w:r>
        <w:t xml:space="preserve">L’utilizzo del TF-IDF permette di non dover eliminare le </w:t>
      </w:r>
      <w:r w:rsidR="007D2C57" w:rsidRPr="007D2C57">
        <w:rPr>
          <w:i/>
          <w:iCs/>
        </w:rPr>
        <w:t>“</w:t>
      </w:r>
      <w:r w:rsidRPr="007D2C57">
        <w:rPr>
          <w:i/>
          <w:iCs/>
        </w:rPr>
        <w:t>stop words</w:t>
      </w:r>
      <w:r w:rsidR="008C7485" w:rsidRPr="005605D2">
        <w:rPr>
          <w:rStyle w:val="Rimandonotadichiusura"/>
        </w:rPr>
        <w:endnoteReference w:id="3"/>
      </w:r>
      <w:r w:rsidR="007D2C57" w:rsidRPr="007D2C57">
        <w:rPr>
          <w:i/>
          <w:iCs/>
        </w:rPr>
        <w:t>”</w:t>
      </w:r>
      <w:r w:rsidR="007D2C57">
        <w:t xml:space="preserve"> in quanto il TF-IDF  calcolato</w:t>
      </w:r>
      <w:r w:rsidR="005605D2">
        <w:t xml:space="preserve"> per esse</w:t>
      </w:r>
      <w:r w:rsidR="007D2C57">
        <w:t xml:space="preserve"> risulta 0 e quindi non rilevante.</w:t>
      </w:r>
    </w:p>
    <w:p w14:paraId="155B870F" w14:textId="18E4BF7F" w:rsidR="007D2C57" w:rsidRDefault="00714CA7" w:rsidP="00C952E2">
      <w:r>
        <w:t xml:space="preserve">Le raccomandazioni calcolate utilizzando l’approccio </w:t>
      </w:r>
      <w:r>
        <w:rPr>
          <w:i/>
          <w:iCs/>
        </w:rPr>
        <w:t>Content Based Methods</w:t>
      </w:r>
      <w:r>
        <w:t xml:space="preserve"> preved</w:t>
      </w:r>
      <w:r w:rsidR="005605D2">
        <w:t>ono</w:t>
      </w:r>
      <w:r>
        <w:t xml:space="preserve"> di calcolare la similarità tra le coperture sottoscritte dal cliente e le coperture presenti </w:t>
      </w:r>
      <w:r w:rsidR="004F7EBB">
        <w:t>all’interno della</w:t>
      </w:r>
      <w:r>
        <w:t xml:space="preserve"> base di conoscenza.</w:t>
      </w:r>
    </w:p>
    <w:p w14:paraId="6E6A8FBD" w14:textId="2E53609A" w:rsidR="00992328" w:rsidRDefault="004F7EBB" w:rsidP="00B20739">
      <w:r>
        <w:t xml:space="preserve">Per calcolare la similarità è necessario rappresentare la base di conoscenza in forma numerica; per forma numerica s’intende creare un vettore </w:t>
      </w:r>
      <w:r w:rsidR="005605D2">
        <w:t>relativo ad</w:t>
      </w:r>
      <w:r>
        <w:t xml:space="preserve"> ogni copertura assicurativa presente nella base di conoscenza. Ogni vettore è costituito dalle caratteristiche </w:t>
      </w:r>
      <w:r w:rsidR="005605D2">
        <w:t xml:space="preserve">individuate </w:t>
      </w:r>
      <w:r>
        <w:t xml:space="preserve">della copertura assicurativa rappresentata utilizzando gli </w:t>
      </w:r>
      <w:r w:rsidR="00D45A1C" w:rsidRPr="00D45A1C">
        <w:rPr>
          <w:b/>
          <w:bCs/>
        </w:rPr>
        <w:t>embeddings</w:t>
      </w:r>
      <w:r w:rsidR="00D45A1C" w:rsidRPr="005605D2">
        <w:rPr>
          <w:rStyle w:val="Rimandonotadichiusura"/>
        </w:rPr>
        <w:endnoteReference w:id="4"/>
      </w:r>
      <w:r w:rsidR="00E36D65">
        <w:t>, la similarità viene misurata calcolando</w:t>
      </w:r>
      <w:r w:rsidR="00E36D65" w:rsidRPr="00544A43">
        <w:t xml:space="preserve"> il cos</w:t>
      </w:r>
      <w:r w:rsidR="00544A43" w:rsidRPr="00544A43">
        <w:rPr>
          <w:rStyle w:val="Rimandonotadichiusura"/>
        </w:rPr>
        <w:endnoteReference w:id="5"/>
      </w:r>
      <w:r w:rsidR="00544A43" w:rsidRPr="00544A43">
        <w:t xml:space="preserve"> </w:t>
      </w:r>
      <w:r w:rsidR="00544A43" w:rsidRPr="00544A43">
        <w:rPr>
          <w:i/>
          <w:iCs/>
        </w:rPr>
        <w:t>(coseno)</w:t>
      </w:r>
      <w:r w:rsidR="00E36D65" w:rsidRPr="00544A43">
        <w:t xml:space="preserve"> dell’angolo creato fra l’embedding relativo alla copertura assicurativa sottoscritta dal cliente e quelle presente nella base di conoscenza</w:t>
      </w:r>
      <w:r w:rsidR="00F061FD" w:rsidRPr="00544A43">
        <w:t xml:space="preserve">, se il risultato è “1” rappresenta la massima similarità mentre se è “0” rappresenta </w:t>
      </w:r>
      <w:r w:rsidR="005605D2">
        <w:t>la minima</w:t>
      </w:r>
      <w:r w:rsidR="00F061FD" w:rsidRPr="00544A43">
        <w:t xml:space="preserve"> similarità</w:t>
      </w:r>
      <w:r w:rsidR="00F061FD">
        <w:t>.</w:t>
      </w:r>
    </w:p>
    <w:p w14:paraId="1FEF319A" w14:textId="5E3D6408" w:rsidR="00281C2D" w:rsidRDefault="00281C2D" w:rsidP="00281C2D">
      <w:pPr>
        <w:pStyle w:val="Titolo7"/>
      </w:pPr>
      <w:r>
        <w:lastRenderedPageBreak/>
        <w:t>Sistemi collaborativi</w:t>
      </w:r>
    </w:p>
    <w:p w14:paraId="64DCC6AF" w14:textId="1466D81C" w:rsidR="001D0ACA" w:rsidRDefault="001D0ACA" w:rsidP="00281C2D">
      <w:r>
        <w:t xml:space="preserve">I sistemi collaborativi si basano sul concetto intuitivo del </w:t>
      </w:r>
      <w:r>
        <w:rPr>
          <w:i/>
          <w:iCs/>
        </w:rPr>
        <w:t>passaparola</w:t>
      </w:r>
      <w:r>
        <w:t xml:space="preserve">, </w:t>
      </w:r>
      <w:r w:rsidR="006300B1" w:rsidRPr="006300B1">
        <w:rPr>
          <w:i/>
          <w:iCs/>
        </w:rPr>
        <w:t xml:space="preserve">es. </w:t>
      </w:r>
      <w:r w:rsidRPr="006300B1">
        <w:rPr>
          <w:i/>
          <w:iCs/>
        </w:rPr>
        <w:t xml:space="preserve">spesso una persona chiede consiglio ai propri amici o conoscenti </w:t>
      </w:r>
      <w:r w:rsidR="006300B1" w:rsidRPr="006300B1">
        <w:rPr>
          <w:i/>
          <w:iCs/>
        </w:rPr>
        <w:t xml:space="preserve">su </w:t>
      </w:r>
      <w:r w:rsidRPr="006300B1">
        <w:rPr>
          <w:i/>
          <w:iCs/>
        </w:rPr>
        <w:t>quale ristorante scegliere</w:t>
      </w:r>
      <w:r>
        <w:t>.</w:t>
      </w:r>
    </w:p>
    <w:p w14:paraId="26C6BF06" w14:textId="2DF6D9FA" w:rsidR="001D0ACA" w:rsidRDefault="006300B1" w:rsidP="00281C2D">
      <w:r>
        <w:t xml:space="preserve">Un </w:t>
      </w:r>
      <w:r w:rsidR="001D0ACA">
        <w:t xml:space="preserve">sistema collaborativo registra le preferenze del cliente </w:t>
      </w:r>
      <w:r>
        <w:t>riguardo i prodotti venduti</w:t>
      </w:r>
      <w:r w:rsidR="00224131">
        <w:t>, all’interno di una matrice users-items</w:t>
      </w:r>
      <w:r w:rsidR="00E81BD9">
        <w:t xml:space="preserve">, le righe rappresentano i clienti mentre le colonne gli items </w:t>
      </w:r>
      <w:r w:rsidR="00E81BD9">
        <w:rPr>
          <w:i/>
          <w:iCs/>
        </w:rPr>
        <w:t>in questo esempio i films</w:t>
      </w:r>
      <w:r w:rsidR="00224131">
        <w:t>, in ogni cella viene indicata la preferenza del cliente.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677"/>
        <w:gridCol w:w="1723"/>
        <w:gridCol w:w="860"/>
        <w:gridCol w:w="853"/>
        <w:gridCol w:w="900"/>
        <w:gridCol w:w="1515"/>
        <w:gridCol w:w="871"/>
      </w:tblGrid>
      <w:tr w:rsidR="00AE7628" w:rsidRPr="006300B1" w14:paraId="29D24B3A" w14:textId="77777777" w:rsidTr="00D93670">
        <w:trPr>
          <w:jc w:val="center"/>
        </w:trPr>
        <w:tc>
          <w:tcPr>
            <w:tcW w:w="0" w:type="auto"/>
          </w:tcPr>
          <w:p w14:paraId="568DF6C5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40DAC8" w14:textId="6E18E93C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Titanic</w:t>
            </w:r>
          </w:p>
        </w:tc>
        <w:tc>
          <w:tcPr>
            <w:tcW w:w="0" w:type="auto"/>
          </w:tcPr>
          <w:p w14:paraId="1615DDC3" w14:textId="59FDB3F8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 chiamavano Trinità</w:t>
            </w:r>
          </w:p>
        </w:tc>
        <w:tc>
          <w:tcPr>
            <w:tcW w:w="0" w:type="auto"/>
          </w:tcPr>
          <w:p w14:paraId="5FE930AB" w14:textId="33F3958D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John Vick</w:t>
            </w:r>
          </w:p>
        </w:tc>
        <w:tc>
          <w:tcPr>
            <w:tcW w:w="0" w:type="auto"/>
          </w:tcPr>
          <w:p w14:paraId="0FFCFE1E" w14:textId="5F59AE59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postino</w:t>
            </w:r>
          </w:p>
        </w:tc>
        <w:tc>
          <w:tcPr>
            <w:tcW w:w="0" w:type="auto"/>
          </w:tcPr>
          <w:p w14:paraId="77AD913F" w14:textId="3249663E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monello</w:t>
            </w:r>
          </w:p>
        </w:tc>
        <w:tc>
          <w:tcPr>
            <w:tcW w:w="0" w:type="auto"/>
          </w:tcPr>
          <w:p w14:paraId="58AA219C" w14:textId="1C8DFE69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C’è ancora domani</w:t>
            </w:r>
          </w:p>
        </w:tc>
        <w:tc>
          <w:tcPr>
            <w:tcW w:w="0" w:type="auto"/>
          </w:tcPr>
          <w:p w14:paraId="11D8441A" w14:textId="192B7E2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Inception</w:t>
            </w:r>
          </w:p>
        </w:tc>
      </w:tr>
      <w:tr w:rsidR="00AE7628" w:rsidRPr="006300B1" w14:paraId="43362033" w14:textId="77777777" w:rsidTr="00D93670">
        <w:trPr>
          <w:jc w:val="center"/>
        </w:trPr>
        <w:tc>
          <w:tcPr>
            <w:tcW w:w="0" w:type="auto"/>
          </w:tcPr>
          <w:p w14:paraId="039CABA4" w14:textId="77B2A63E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Mario Rossi</w:t>
            </w:r>
          </w:p>
        </w:tc>
        <w:tc>
          <w:tcPr>
            <w:tcW w:w="0" w:type="auto"/>
          </w:tcPr>
          <w:p w14:paraId="2C717591" w14:textId="3B90C3E1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7B7FDFD" w14:textId="41D2F7ED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897A33D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E03D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C66782" w14:textId="6BAE7FF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F7DD199" w14:textId="518CEDEE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DEBFA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  <w:tr w:rsidR="00AE7628" w:rsidRPr="006300B1" w14:paraId="44A3B846" w14:textId="77777777" w:rsidTr="00D93670">
        <w:trPr>
          <w:jc w:val="center"/>
        </w:trPr>
        <w:tc>
          <w:tcPr>
            <w:tcW w:w="0" w:type="auto"/>
          </w:tcPr>
          <w:p w14:paraId="0E7E2018" w14:textId="316F2F25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Carlo Bianchi</w:t>
            </w:r>
          </w:p>
        </w:tc>
        <w:tc>
          <w:tcPr>
            <w:tcW w:w="0" w:type="auto"/>
          </w:tcPr>
          <w:p w14:paraId="17A1EAD9" w14:textId="029ED0B2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BB4E2A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B27819" w14:textId="34A02E8E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6B644EE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7F1CE0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83A2FA" w14:textId="26909296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1103658" w14:textId="566741C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  <w:tr w:rsidR="00AE7628" w:rsidRPr="006300B1" w14:paraId="7EF2FC1B" w14:textId="77777777" w:rsidTr="00D93670">
        <w:trPr>
          <w:jc w:val="center"/>
        </w:trPr>
        <w:tc>
          <w:tcPr>
            <w:tcW w:w="0" w:type="auto"/>
          </w:tcPr>
          <w:p w14:paraId="57E13304" w14:textId="7EAAA857" w:rsidR="00AE7628" w:rsidRPr="006300B1" w:rsidRDefault="00AE7628" w:rsidP="00281C2D">
            <w:pPr>
              <w:rPr>
                <w:sz w:val="16"/>
                <w:szCs w:val="16"/>
              </w:rPr>
            </w:pPr>
            <w:r w:rsidRPr="006300B1">
              <w:rPr>
                <w:sz w:val="16"/>
                <w:szCs w:val="16"/>
              </w:rPr>
              <w:t>Luca Verdi</w:t>
            </w:r>
          </w:p>
        </w:tc>
        <w:tc>
          <w:tcPr>
            <w:tcW w:w="0" w:type="auto"/>
          </w:tcPr>
          <w:p w14:paraId="756EF545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44995" w14:textId="2C1B769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147BA2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BD995A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B0DF18" w14:textId="62965316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6B8DE9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2FF696" w14:textId="3BFE6AF4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E7628" w:rsidRPr="006300B1" w14:paraId="17ABF989" w14:textId="77777777" w:rsidTr="00D93670">
        <w:trPr>
          <w:jc w:val="center"/>
        </w:trPr>
        <w:tc>
          <w:tcPr>
            <w:tcW w:w="0" w:type="auto"/>
          </w:tcPr>
          <w:p w14:paraId="2237D3E4" w14:textId="577E3F4C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Marco Giallini</w:t>
            </w:r>
          </w:p>
        </w:tc>
        <w:tc>
          <w:tcPr>
            <w:tcW w:w="0" w:type="auto"/>
          </w:tcPr>
          <w:p w14:paraId="52C8836E" w14:textId="2DFF90D7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166F63D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0175DA" w14:textId="55B56928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12F10E" w14:textId="77777777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B67D27" w14:textId="1C09EB40" w:rsidR="00AE7628" w:rsidRPr="006300B1" w:rsidRDefault="00AE7628" w:rsidP="00281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9EC1D8F" w14:textId="2B901546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36A901" w14:textId="13545724" w:rsidR="00AE7628" w:rsidRPr="006300B1" w:rsidRDefault="00AE7628" w:rsidP="00281C2D">
            <w:pPr>
              <w:rPr>
                <w:sz w:val="16"/>
                <w:szCs w:val="16"/>
              </w:rPr>
            </w:pPr>
          </w:p>
        </w:tc>
      </w:tr>
    </w:tbl>
    <w:p w14:paraId="77FADB23" w14:textId="5699B68D" w:rsidR="00D93670" w:rsidRPr="00D93670" w:rsidRDefault="00D93670" w:rsidP="00D93670">
      <w:pPr>
        <w:pStyle w:val="Citazioneintensa"/>
      </w:pPr>
      <w:r>
        <w:t>Matrice users-items d’esempio</w:t>
      </w:r>
    </w:p>
    <w:p w14:paraId="372FCDE7" w14:textId="5B7A9E81" w:rsidR="009510CD" w:rsidRDefault="00AE7628" w:rsidP="005E6C0A">
      <w:r>
        <w:t>La matrice mostrata sopra è un esempio ridotto nella realtà la matrice users-items è una matrice sparsa di grande dimensioni. Utilizzare la matrice users-items così creata sarebbe inefficiente e dispendioso per questo viene utilizzata la fattorizzazione di matrici</w:t>
      </w:r>
      <w:r w:rsidR="007D0A0D">
        <w:rPr>
          <w:rStyle w:val="Rimandonotadichiusura"/>
        </w:rPr>
        <w:endnoteReference w:id="6"/>
      </w:r>
      <w:r>
        <w:t xml:space="preserve"> </w:t>
      </w:r>
      <w:r>
        <w:rPr>
          <w:i/>
          <w:iCs/>
        </w:rPr>
        <w:t>(matrix factorizzation)</w:t>
      </w:r>
      <w:r>
        <w:t>.</w:t>
      </w:r>
      <w:r w:rsidR="007D0A0D">
        <w:t xml:space="preserve"> </w:t>
      </w:r>
      <w:r w:rsidR="009510CD">
        <w:t xml:space="preserve">La </w:t>
      </w:r>
      <w:r w:rsidR="007D0A0D">
        <w:t xml:space="preserve">fattorizzazione di matrici </w:t>
      </w:r>
      <w:r w:rsidR="009510CD">
        <w:t xml:space="preserve">permette di suddividere la matrice users-items originaria in matrici più piccole </w:t>
      </w:r>
      <w:r w:rsidR="007D0A0D">
        <w:t xml:space="preserve">dense </w:t>
      </w:r>
      <w:r w:rsidR="009510CD">
        <w:t>il cui prodotto è equivalente alla matrice originaria</w:t>
      </w:r>
      <w:r w:rsidR="007D0A0D">
        <w:t>.</w:t>
      </w:r>
    </w:p>
    <w:p w14:paraId="1733C4EF" w14:textId="717634FE" w:rsidR="007D0A0D" w:rsidRDefault="00FE27FB" w:rsidP="00FE27FB">
      <w:pPr>
        <w:pStyle w:val="Titolo7"/>
      </w:pPr>
      <w:r>
        <w:t>Sistemi ibridi</w:t>
      </w:r>
    </w:p>
    <w:p w14:paraId="66203EA9" w14:textId="522EB6F3" w:rsidR="00184122" w:rsidRDefault="00184122" w:rsidP="00184122">
      <w:r>
        <w:t>I sistemi ibridi utilizzano tecniche che appartengono sia ai sistemi collaborativi che ai sistemi basati sul contenuto e calcolano le raccomandazioni usando entrambi gli approcci.</w:t>
      </w:r>
    </w:p>
    <w:p w14:paraId="02AF0E34" w14:textId="59D36749" w:rsidR="00642F69" w:rsidRPr="00184122" w:rsidRDefault="00642F69" w:rsidP="00642F69">
      <w:pPr>
        <w:pStyle w:val="Titolo7"/>
      </w:pPr>
      <w:r>
        <w:t>Considerazioni in ambito assicurativo</w:t>
      </w:r>
    </w:p>
    <w:p w14:paraId="3FB0AB8F" w14:textId="2686F03F" w:rsidR="003D4ED1" w:rsidRDefault="00EC7EE8" w:rsidP="005E6C0A">
      <w:r>
        <w:t xml:space="preserve">L’approccio descritto risulta valido in ambito </w:t>
      </w:r>
      <w:r w:rsidRPr="00FF33CF">
        <w:rPr>
          <w:i/>
          <w:iCs/>
        </w:rPr>
        <w:t>e-commerce, streaming on-line</w:t>
      </w:r>
      <w:r>
        <w:t xml:space="preserve"> ma </w:t>
      </w:r>
      <w:r w:rsidR="00FF33CF">
        <w:t>non si può</w:t>
      </w:r>
      <w:r>
        <w:t xml:space="preserve"> applica</w:t>
      </w:r>
      <w:r w:rsidR="00FF33CF">
        <w:t>re</w:t>
      </w:r>
      <w:r>
        <w:t xml:space="preserve"> in ambito assicurativo</w:t>
      </w:r>
      <w:r w:rsidR="00FF33CF">
        <w:t>, in quanto ci sono delle peculiarità</w:t>
      </w:r>
      <w:r w:rsidR="00901FF5">
        <w:rPr>
          <w:rStyle w:val="Rimandonotadichiusura"/>
        </w:rPr>
        <w:endnoteReference w:id="7"/>
      </w:r>
      <w:r w:rsidR="00FF33CF">
        <w:t xml:space="preserve"> del dominio applicativo </w:t>
      </w:r>
      <w:r w:rsidR="00E72CF5">
        <w:t xml:space="preserve">troppo </w:t>
      </w:r>
      <w:r w:rsidR="00FF33CF">
        <w:t>complesse per essere rappresentate nella matrice users-items; pertanto</w:t>
      </w:r>
      <w:r>
        <w:t xml:space="preserve"> è necessario </w:t>
      </w:r>
      <w:r w:rsidR="00E72CF5">
        <w:t>utilizzare</w:t>
      </w:r>
      <w:r w:rsidR="00FF33CF">
        <w:t xml:space="preserve"> degli</w:t>
      </w:r>
      <w:r>
        <w:t xml:space="preserve"> accorgimenti.</w:t>
      </w:r>
    </w:p>
    <w:p w14:paraId="5E07BE15" w14:textId="4AE959C2" w:rsidR="00852399" w:rsidRDefault="00852399" w:rsidP="005E6C0A">
      <w:r>
        <w:t>Le peculiarità dell’ambito assicurativo che si possono individuare sono:</w:t>
      </w:r>
    </w:p>
    <w:p w14:paraId="3A26BFD9" w14:textId="77777777" w:rsidR="00852399" w:rsidRDefault="00852399" w:rsidP="00852399">
      <w:pPr>
        <w:pStyle w:val="Paragrafoelenco"/>
        <w:numPr>
          <w:ilvl w:val="0"/>
          <w:numId w:val="13"/>
        </w:numPr>
      </w:pPr>
      <w:r>
        <w:rPr>
          <w:b/>
          <w:bCs/>
        </w:rPr>
        <w:t>Cardinalità ridotta</w:t>
      </w:r>
      <w:r>
        <w:t xml:space="preserve">: l’offerta assicurativa può contenere un numero massimo di 100 prodotti rispetto all’offerta delle piattaforme e-commerce </w:t>
      </w:r>
      <w:r>
        <w:rPr>
          <w:i/>
          <w:iCs/>
        </w:rPr>
        <w:t>(es. milioni di libri presenti su Amazon)</w:t>
      </w:r>
      <w:r>
        <w:t xml:space="preserve"> o delle piattaforme di streaming on-line </w:t>
      </w:r>
      <w:r>
        <w:rPr>
          <w:i/>
          <w:iCs/>
        </w:rPr>
        <w:t>(es. migliaia di film e serie tv presenti su Netflix)</w:t>
      </w:r>
      <w:r>
        <w:t xml:space="preserve"> l’offerta assicurativa risulta limitata.</w:t>
      </w:r>
    </w:p>
    <w:p w14:paraId="3C778106" w14:textId="1A59C659" w:rsidR="009B1149" w:rsidRDefault="009B1149" w:rsidP="00852399">
      <w:pPr>
        <w:pStyle w:val="Paragrafoelenco"/>
        <w:numPr>
          <w:ilvl w:val="0"/>
          <w:numId w:val="13"/>
        </w:numPr>
      </w:pPr>
      <w:r>
        <w:rPr>
          <w:b/>
          <w:bCs/>
        </w:rPr>
        <w:t>Affidabilità</w:t>
      </w:r>
      <w:r>
        <w:t xml:space="preserve">: l’acquisto di un libro, la visione di un film o l’acquisto di altri prodotti di uso comune che vengono acquistati giornalmente o settimanalmente. Le coperture assicurative vengono modificate raramente pertanto è necessario avere un elevato livello di affidabilità da parte del cliente. L’errato acquisto di un libro o di un film creerà al cliente un danno minimo, sia in termini economici che in quantità di tempo. Sbagliare a sottoscrivere l’assicurazione causerà un notevole danno al cliente, inoltre per </w:t>
      </w:r>
      <w:r w:rsidR="009A0B37">
        <w:t xml:space="preserve">modificare il contratto è necessario eseguire una variazione </w:t>
      </w:r>
      <w:r w:rsidR="009A0B37">
        <w:rPr>
          <w:i/>
          <w:iCs/>
        </w:rPr>
        <w:t>(voltura)</w:t>
      </w:r>
      <w:r w:rsidR="009A0B37">
        <w:t>.</w:t>
      </w:r>
    </w:p>
    <w:p w14:paraId="2FBAE3F2" w14:textId="43030867" w:rsidR="00852399" w:rsidRPr="00D21102" w:rsidRDefault="00FB1077" w:rsidP="00D21102">
      <w:pPr>
        <w:pStyle w:val="Paragrafoelenco"/>
        <w:numPr>
          <w:ilvl w:val="0"/>
          <w:numId w:val="13"/>
        </w:numPr>
      </w:pPr>
      <w:r>
        <w:rPr>
          <w:b/>
          <w:bCs/>
        </w:rPr>
        <w:t>Vincoli</w:t>
      </w:r>
      <w:r>
        <w:t xml:space="preserve">: quando si sottoscrive un’assicurazione ci sono diversi vincoli che bisogna rispettare, </w:t>
      </w:r>
      <w:r>
        <w:rPr>
          <w:i/>
          <w:iCs/>
        </w:rPr>
        <w:t xml:space="preserve">es. bonus per le assicurazioni auto se non sono stati commessi sinistri negli </w:t>
      </w:r>
      <w:r>
        <w:rPr>
          <w:i/>
          <w:iCs/>
        </w:rPr>
        <w:lastRenderedPageBreak/>
        <w:t>ultimi anni, bonus se si sta assicurando la prima casa, limite d’età per le assicurazioni sulla salute, limiti legati a patologie per le assicurazioni sulla salute.</w:t>
      </w:r>
    </w:p>
    <w:sectPr w:rsidR="00852399" w:rsidRPr="00D21102" w:rsidSect="0078067F">
      <w:footerReference w:type="default" r:id="rId22"/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258F" w14:textId="77777777" w:rsidR="0078067F" w:rsidRDefault="0078067F" w:rsidP="00AA78C0">
      <w:pPr>
        <w:spacing w:after="0" w:line="240" w:lineRule="auto"/>
      </w:pPr>
      <w:r>
        <w:separator/>
      </w:r>
    </w:p>
  </w:endnote>
  <w:endnote w:type="continuationSeparator" w:id="0">
    <w:p w14:paraId="26A774A2" w14:textId="77777777" w:rsidR="0078067F" w:rsidRDefault="0078067F" w:rsidP="00AA78C0">
      <w:pPr>
        <w:spacing w:after="0" w:line="240" w:lineRule="auto"/>
      </w:pPr>
      <w:r>
        <w:continuationSeparator/>
      </w:r>
    </w:p>
  </w:endnote>
  <w:endnote w:id="1">
    <w:p w14:paraId="7938FFAD" w14:textId="4B10A7AA" w:rsidR="0035778B" w:rsidRPr="0035778B" w:rsidRDefault="0035778B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35778B">
        <w:rPr>
          <w:b/>
          <w:bCs/>
        </w:rPr>
        <w:t>Recommender Systems</w:t>
      </w:r>
      <w:r>
        <w:t xml:space="preserve">, </w:t>
      </w:r>
      <w:r w:rsidRPr="0035778B">
        <w:t>Prem Melville and Vikas Sindhwani</w:t>
      </w:r>
    </w:p>
  </w:endnote>
  <w:endnote w:id="2">
    <w:p w14:paraId="2D0C7095" w14:textId="151711BE" w:rsidR="00D3059B" w:rsidRDefault="00D3059B">
      <w:pPr>
        <w:pStyle w:val="Testonotadichiusura"/>
      </w:pPr>
      <w:r w:rsidRPr="00682699">
        <w:rPr>
          <w:rStyle w:val="Rimandonotadichiusura"/>
        </w:rPr>
        <w:endnoteRef/>
      </w:r>
      <w:r w:rsidRPr="00682699">
        <w:t xml:space="preserve"> </w:t>
      </w:r>
      <w:hyperlink r:id="rId1" w:history="1">
        <w:r w:rsidR="00F96964" w:rsidRPr="00682699">
          <w:rPr>
            <w:rStyle w:val="Collegamentoipertestuale"/>
            <w:b/>
            <w:bCs/>
          </w:rPr>
          <w:t>TF-IDF — Term Frequency-Inverse Document Frequency – LearnDataSci</w:t>
        </w:r>
      </w:hyperlink>
      <w:r w:rsidR="00F96964">
        <w:t xml:space="preserve">, </w:t>
      </w:r>
      <w:r w:rsidR="00F96964" w:rsidRPr="00F96964">
        <w:t>Fatih Karabiber</w:t>
      </w:r>
      <w:r w:rsidR="00F96964">
        <w:t xml:space="preserve">, </w:t>
      </w:r>
    </w:p>
  </w:endnote>
  <w:endnote w:id="3">
    <w:p w14:paraId="63AD0227" w14:textId="43103955" w:rsidR="008C7485" w:rsidRDefault="008C748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2" w:history="1">
        <w:r w:rsidRPr="00682699">
          <w:rPr>
            <w:rStyle w:val="Collegamentoipertestuale"/>
            <w:b/>
            <w:bCs/>
          </w:rPr>
          <w:t>Stop word - Wikipedia</w:t>
        </w:r>
      </w:hyperlink>
      <w:r w:rsidR="000A5E7C">
        <w:t>, Wikipedia</w:t>
      </w:r>
    </w:p>
  </w:endnote>
  <w:endnote w:id="4">
    <w:p w14:paraId="45F98117" w14:textId="4F6E7DB7" w:rsidR="00D45A1C" w:rsidRDefault="00D45A1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3" w:history="1">
        <w:r w:rsidRPr="00682699">
          <w:rPr>
            <w:rStyle w:val="Collegamentoipertestuale"/>
            <w:b/>
            <w:bCs/>
          </w:rPr>
          <w:t>Getting Started With Embeddings (huggingface.co)</w:t>
        </w:r>
      </w:hyperlink>
      <w:r>
        <w:t xml:space="preserve">, </w:t>
      </w:r>
      <w:r w:rsidRPr="00D45A1C">
        <w:t>Omar Espejel</w:t>
      </w:r>
    </w:p>
  </w:endnote>
  <w:endnote w:id="5">
    <w:p w14:paraId="7F05EE16" w14:textId="2F6F3227" w:rsidR="00544A43" w:rsidRDefault="00544A4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4" w:history="1">
        <w:r w:rsidRPr="00682699">
          <w:rPr>
            <w:rStyle w:val="Collegamentoipertestuale"/>
            <w:b/>
            <w:bCs/>
          </w:rPr>
          <w:t>Coseno - Wikipedia</w:t>
        </w:r>
      </w:hyperlink>
      <w:r w:rsidR="000A5E7C">
        <w:t>, Wikipedia</w:t>
      </w:r>
    </w:p>
  </w:endnote>
  <w:endnote w:id="6">
    <w:p w14:paraId="5EED8280" w14:textId="50A51E8E" w:rsidR="007D0A0D" w:rsidRPr="007D0A0D" w:rsidRDefault="007D0A0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5" w:history="1">
        <w:r w:rsidRPr="007D0A0D">
          <w:rPr>
            <w:rStyle w:val="Collegamentoipertestuale"/>
            <w:b/>
            <w:bCs/>
          </w:rPr>
          <w:t>Matrix factorization - Wikipedia</w:t>
        </w:r>
      </w:hyperlink>
      <w:r>
        <w:t>, Wikipedia</w:t>
      </w:r>
    </w:p>
  </w:endnote>
  <w:endnote w:id="7">
    <w:p w14:paraId="6C55C8EA" w14:textId="7072D041" w:rsidR="00901FF5" w:rsidRPr="00CA5D06" w:rsidRDefault="00901FF5" w:rsidP="00CA5D0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="00CA5D06" w:rsidRPr="00CA5D06">
        <w:rPr>
          <w:b/>
          <w:bCs/>
        </w:rPr>
        <w:t>A Recommendation System For Car Insurance</w:t>
      </w:r>
      <w:r w:rsidR="00CA5D06">
        <w:t>, Laurent Lesage, Madalina Deaconu, Antoine Lejay, Jorge Augusto Meira, Geoffrey Nichil, Radu State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CD7B5" w14:textId="77777777" w:rsidR="0078067F" w:rsidRDefault="0078067F" w:rsidP="00AA78C0">
      <w:pPr>
        <w:spacing w:after="0" w:line="240" w:lineRule="auto"/>
      </w:pPr>
      <w:r>
        <w:separator/>
      </w:r>
    </w:p>
  </w:footnote>
  <w:footnote w:type="continuationSeparator" w:id="0">
    <w:p w14:paraId="565CDAD2" w14:textId="77777777" w:rsidR="0078067F" w:rsidRDefault="0078067F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47FA"/>
    <w:multiLevelType w:val="hybridMultilevel"/>
    <w:tmpl w:val="180C05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E7F71"/>
    <w:multiLevelType w:val="hybridMultilevel"/>
    <w:tmpl w:val="B1D8339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558A5"/>
    <w:multiLevelType w:val="hybridMultilevel"/>
    <w:tmpl w:val="D3B082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1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10"/>
  </w:num>
  <w:num w:numId="11" w16cid:durableId="777213385">
    <w:abstractNumId w:val="7"/>
  </w:num>
  <w:num w:numId="12" w16cid:durableId="1390495654">
    <w:abstractNumId w:val="9"/>
  </w:num>
  <w:num w:numId="13" w16cid:durableId="2129081396">
    <w:abstractNumId w:val="12"/>
  </w:num>
  <w:num w:numId="14" w16cid:durableId="1822962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02515"/>
    <w:rsid w:val="00043C9A"/>
    <w:rsid w:val="00061E47"/>
    <w:rsid w:val="00072406"/>
    <w:rsid w:val="00086FAB"/>
    <w:rsid w:val="000A5E7C"/>
    <w:rsid w:val="000B797B"/>
    <w:rsid w:val="000D5F78"/>
    <w:rsid w:val="000D6667"/>
    <w:rsid w:val="000E777B"/>
    <w:rsid w:val="000E7925"/>
    <w:rsid w:val="00107E56"/>
    <w:rsid w:val="00145D02"/>
    <w:rsid w:val="00145FBD"/>
    <w:rsid w:val="00184122"/>
    <w:rsid w:val="0019499F"/>
    <w:rsid w:val="001A2D9C"/>
    <w:rsid w:val="001A6682"/>
    <w:rsid w:val="001C5F22"/>
    <w:rsid w:val="001D0ACA"/>
    <w:rsid w:val="00224131"/>
    <w:rsid w:val="0026549A"/>
    <w:rsid w:val="00281C2D"/>
    <w:rsid w:val="002C354C"/>
    <w:rsid w:val="002F3C84"/>
    <w:rsid w:val="00324059"/>
    <w:rsid w:val="0035778B"/>
    <w:rsid w:val="00393D6A"/>
    <w:rsid w:val="003A3AFF"/>
    <w:rsid w:val="003A4508"/>
    <w:rsid w:val="003D4ED1"/>
    <w:rsid w:val="003E2EFF"/>
    <w:rsid w:val="00411A1C"/>
    <w:rsid w:val="00454E1F"/>
    <w:rsid w:val="004A2269"/>
    <w:rsid w:val="004E66C7"/>
    <w:rsid w:val="004F7EBB"/>
    <w:rsid w:val="00502E03"/>
    <w:rsid w:val="00523E9C"/>
    <w:rsid w:val="00541A18"/>
    <w:rsid w:val="00544A43"/>
    <w:rsid w:val="0055148D"/>
    <w:rsid w:val="005605D2"/>
    <w:rsid w:val="00575304"/>
    <w:rsid w:val="0058742A"/>
    <w:rsid w:val="005E6C0A"/>
    <w:rsid w:val="0061489A"/>
    <w:rsid w:val="006208F2"/>
    <w:rsid w:val="006300B1"/>
    <w:rsid w:val="00642F69"/>
    <w:rsid w:val="00665341"/>
    <w:rsid w:val="00682699"/>
    <w:rsid w:val="00690A99"/>
    <w:rsid w:val="006A05C4"/>
    <w:rsid w:val="006D6E58"/>
    <w:rsid w:val="00701EEE"/>
    <w:rsid w:val="0070246F"/>
    <w:rsid w:val="00714CA7"/>
    <w:rsid w:val="00761C04"/>
    <w:rsid w:val="00767871"/>
    <w:rsid w:val="0078067F"/>
    <w:rsid w:val="007D0A0D"/>
    <w:rsid w:val="007D2C57"/>
    <w:rsid w:val="00804CF6"/>
    <w:rsid w:val="008166F0"/>
    <w:rsid w:val="008448CB"/>
    <w:rsid w:val="00852399"/>
    <w:rsid w:val="00870B6D"/>
    <w:rsid w:val="008A498D"/>
    <w:rsid w:val="008A6CE3"/>
    <w:rsid w:val="008B6E0C"/>
    <w:rsid w:val="008C7485"/>
    <w:rsid w:val="008D0841"/>
    <w:rsid w:val="00901FF5"/>
    <w:rsid w:val="009510CD"/>
    <w:rsid w:val="00986E87"/>
    <w:rsid w:val="00992328"/>
    <w:rsid w:val="009A0B37"/>
    <w:rsid w:val="009A50D1"/>
    <w:rsid w:val="009B1149"/>
    <w:rsid w:val="009C101F"/>
    <w:rsid w:val="00A01125"/>
    <w:rsid w:val="00A53979"/>
    <w:rsid w:val="00A60F95"/>
    <w:rsid w:val="00A73FB7"/>
    <w:rsid w:val="00AA78C0"/>
    <w:rsid w:val="00AC14FB"/>
    <w:rsid w:val="00AE7628"/>
    <w:rsid w:val="00B11B2B"/>
    <w:rsid w:val="00B20739"/>
    <w:rsid w:val="00B23A4B"/>
    <w:rsid w:val="00B37866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952E2"/>
    <w:rsid w:val="00CA18C5"/>
    <w:rsid w:val="00CA5D06"/>
    <w:rsid w:val="00CA73D6"/>
    <w:rsid w:val="00CB21B8"/>
    <w:rsid w:val="00CD2E6A"/>
    <w:rsid w:val="00CF50C6"/>
    <w:rsid w:val="00D11FB2"/>
    <w:rsid w:val="00D21102"/>
    <w:rsid w:val="00D25773"/>
    <w:rsid w:val="00D3059B"/>
    <w:rsid w:val="00D45A1C"/>
    <w:rsid w:val="00D93670"/>
    <w:rsid w:val="00DD19DB"/>
    <w:rsid w:val="00DD77EC"/>
    <w:rsid w:val="00E05A5E"/>
    <w:rsid w:val="00E36D65"/>
    <w:rsid w:val="00E6793A"/>
    <w:rsid w:val="00E72CF5"/>
    <w:rsid w:val="00E81BD9"/>
    <w:rsid w:val="00E96BA1"/>
    <w:rsid w:val="00EC2639"/>
    <w:rsid w:val="00EC7EE8"/>
    <w:rsid w:val="00EF123F"/>
    <w:rsid w:val="00F061FD"/>
    <w:rsid w:val="00F365CE"/>
    <w:rsid w:val="00F676F2"/>
    <w:rsid w:val="00F9587C"/>
    <w:rsid w:val="00F96964"/>
    <w:rsid w:val="00FB1077"/>
    <w:rsid w:val="00FB6783"/>
    <w:rsid w:val="00FC55F5"/>
    <w:rsid w:val="00FD191F"/>
    <w:rsid w:val="00FD3478"/>
    <w:rsid w:val="00FE27FB"/>
    <w:rsid w:val="00FE5758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D93670"/>
    <w:pPr>
      <w:spacing w:after="360"/>
      <w:ind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D93670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F96964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3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blog/getting-started-with-embeddings" TargetMode="External"/><Relationship Id="rId2" Type="http://schemas.openxmlformats.org/officeDocument/2006/relationships/hyperlink" Target="https://en.wikipedia.org/wiki/Stop_word" TargetMode="External"/><Relationship Id="rId1" Type="http://schemas.openxmlformats.org/officeDocument/2006/relationships/hyperlink" Target="https://www.learndatasci.com/glossary/tf-idf-term-frequency-inverse-document-frequency/" TargetMode="External"/><Relationship Id="rId5" Type="http://schemas.openxmlformats.org/officeDocument/2006/relationships/hyperlink" Target="https://it.wikipedia.org/wiki/Matrix_factorization" TargetMode="External"/><Relationship Id="rId4" Type="http://schemas.openxmlformats.org/officeDocument/2006/relationships/hyperlink" Target="https://it.wikipedia.org/wiki/Cose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11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125</cp:revision>
  <dcterms:created xsi:type="dcterms:W3CDTF">2024-03-09T10:12:00Z</dcterms:created>
  <dcterms:modified xsi:type="dcterms:W3CDTF">2024-04-08T12:29:00Z</dcterms:modified>
</cp:coreProperties>
</file>