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2"/>
        </w:rPr>
        <w:t xml:space="preserve">THE GREAT TITLE ABOVE THE COLUMNS</w:t>
      </w:r>
    </w:p>
    <w:p>
      <w:pPr>
        <w:sectPr>
          <w:pgSz w:w="12240" w:h="15840"/>
          <w:pgMar w:top="1440" w:right="1440" w:bottom="1440" w:left="1440" w:header="720" w:footer="720" w:gutter="0"/>
          <w:cols w:num="1"/>
        </w:sectPr>
      </w:pPr>
    </w:p>
    <w:p>
      <w:r>
        <w:t xml:space="preserve">The layout engine measures every glyph before a single page exists. Paragraphs flow across the column and break where the measurements say they must, never a pixel early.</w:t>
      </w:r>
    </w:p>
    <w:sectPr>
      <w:type w:val="continuous"/>
      <w:pgSz w:w="12240" w:h="15840"/>
      <w:pgMar w:top="1440" w:right="1440" w:bottom="1440" w:left="1440" w:header="720" w:footer="720" w:gutter="0"/>
      <w:cols w:num="2" w:space="720"/>
    </w:sectPr>
  </w:body>
</w:document>
</file>

<file path=word/_rels/document.xml.rels><?xml version="1.0" encoding="UTF-8" standalone="yes"?>
<Relationships xmlns="http://schemas.openxmlformats.org/package/2006/relationships"/>
</file>