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PS 강재의 응력부식과 지연파괴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(Definition &amp; Mechanism)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응력부식(SCC):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 xml:space="preserve">인장응력 + 부식환경(Cl⁻, 수분)이 동시 작용 시 균열이 서서히 진전하여 </w:t>
      </w:r>
      <w:r>
        <w:rPr>
          <w:rFonts w:ascii="Malgun Gothic" w:hAnsi="Malgun Gothic" w:eastAsia="Malgun Gothic"/>
          <w:b/>
          <w:i w:val="0"/>
          <w:color w:val="C0392B"/>
          <w:sz w:val="20"/>
        </w:rPr>
        <w:t>취성파괴에 이르는 현상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  <w:t>.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②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지연파괴(Delayed Fracture):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 xml:space="preserve">고강도 PS 강재에 수소 원자가 침투하여 격자 결함에 축적되고, 시간 경과 후 </w:t>
      </w:r>
      <w:r>
        <w:rPr>
          <w:rFonts w:ascii="Malgun Gothic" w:hAnsi="Malgun Gothic" w:eastAsia="Malgun Gothic"/>
          <w:b/>
          <w:i w:val="0"/>
          <w:color w:val="C0392B"/>
          <w:sz w:val="20"/>
        </w:rPr>
        <w:t>수소취화(Hydrogen Embrittlement)에 의한 돌발 파단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  <w:t>.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③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공통 핵심: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두 현상 모두 고강도 강재(fpu ≥ 1,860 MPa)에서 주로 발생하며, 육안 검사로 사전 감지가 극히 곤란함.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발생 메커니즘 및 영향 인자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(Mechanism &amp; Influencing Factors)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721"/>
        <w:gridCol w:w="4734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 분</w:t>
            </w:r>
          </w:p>
        </w:tc>
        <w:tc>
          <w:tcPr>
            <w:tcW w:w="27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메커니즘</w:t>
            </w:r>
          </w:p>
        </w:tc>
        <w:tc>
          <w:tcPr>
            <w:tcW w:w="4734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주요 영향 인자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응력부식</w:t>
              <w:br/>
              <w:t>(SCC)</w:t>
            </w:r>
          </w:p>
        </w:tc>
        <w:tc>
          <w:tcPr>
            <w:tcW w:w="27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양극 용해(Anodic Dissolution)</w:t>
              <w:br/>
              <w:t>→ 균열 선단 응력집중</w:t>
              <w:br/>
              <w:t>→ 서서히 진전 → 파단</w:t>
            </w:r>
          </w:p>
        </w:tc>
        <w:tc>
          <w:tcPr>
            <w:tcW w:w="473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Cl⁻ 농도, pH &lt; 12.5, 온도,</w:t>
              <w:br/>
              <w:t>인장응력 수준 (0.6fpu 이상)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지연파괴</w:t>
              <w:br/>
              <w:t>(HE)</w:t>
            </w:r>
          </w:p>
        </w:tc>
        <w:tc>
          <w:tcPr>
            <w:tcW w:w="27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음극 반응 → H⁰ 원자 생성</w:t>
              <w:br/>
              <w:t>→ 격자 내 확산·축적</w:t>
              <w:br/>
              <w:t>→ 수소취화 → 돌발 파단</w:t>
            </w:r>
          </w:p>
        </w:tc>
        <w:tc>
          <w:tcPr>
            <w:tcW w:w="4734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수소 공급원(그라우트 수분, 빗물),</w:t>
              <w:br/>
              <w:t>강재 강도 등급, 응력 이력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공통 인자</w:t>
              <w:br/>
              <w:t>(Both)</w:t>
            </w:r>
          </w:p>
        </w:tc>
        <w:tc>
          <w:tcPr>
            <w:tcW w:w="27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균열 개시 → 임계 응력확대계수(K_ISCC) 초과 시 진전</w:t>
            </w:r>
          </w:p>
        </w:tc>
        <w:tc>
          <w:tcPr>
            <w:tcW w:w="473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부식 환경(해양·동결), 방식 불량,</w:t>
              <w:br/>
              <w:t>그라우트 충전 미비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실전 삽도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(Hand-drawable Sketch for Exam)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FFB74D"/>
          <w:left w:val="single" w:sz="6" w:space="0" w:color="FFB74D"/>
          <w:bottom w:val="single" w:sz="6" w:space="0" w:color="FFB74D"/>
          <w:right w:val="single" w:sz="6" w:space="0" w:color="FFB74D"/>
        </w:tblBorders>
      </w:tblPr>
      <w:tblGrid>
        <w:gridCol w:w="9638"/>
      </w:tblGrid>
      <w:tr>
        <w:tc>
          <w:tcPr>
            <w:tcW w:type="dxa" w:w="9638"/>
            <w:shd w:fill="FFF3E0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65C00"/>
                <w:sz w:val="18"/>
              </w:rPr>
              <w:t xml:space="preserve">  시험장 드로잉 전략  </w:t>
            </w:r>
          </w:p>
          <w:p>
            <w:pPr>
              <w:spacing w:before="40" w:after="0" w:line="300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6"/>
              </w:rPr>
              <w:t xml:space="preserve">  1) PS 강연선 단면(7-Wire Strand) 원형 배치 → 2) 외부로부터 Cl⁻/H₂O 침투 화살표 → 3) 강재 표면에 Pit(점식) 표시 → 4) 균열 진전 방향 화살표(→파단) → 5) 그라우트 미충전 Void 영역 해칭</w:t>
            </w:r>
          </w:p>
        </w:tc>
      </w:tr>
    </w:tbl>
    <w:p>
      <w:pPr>
        <w:spacing w:before="6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8675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35"/>
        <w:gridCol w:w="1735"/>
        <w:gridCol w:w="1735"/>
        <w:gridCol w:w="1735"/>
        <w:gridCol w:w="1735"/>
      </w:tblGrid>
      <w:tr>
        <w:tc>
          <w:tcPr>
            <w:tcW w:w="1735" w:type="dxa"/>
            <w:shd w:fill="FFEBEE" w:val="clear"/>
            <w:tcMar>
              <w:top w:w="35" w:type="dxa"/>
              <w:bottom w:w="3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C0392B"/>
                <w:sz w:val="18"/>
              </w:rPr>
              <w:t>Cl⁻ / H₂O</w:t>
              <w:br/>
              <w:t>침투</w:t>
            </w:r>
          </w:p>
        </w:tc>
        <w:tc>
          <w:tcPr>
            <w:tcW w:w="1735" w:type="dxa"/>
            <w:shd w:fill="F7F9FC" w:val="clear"/>
            <w:tcMar>
              <w:top w:w="35" w:type="dxa"/>
              <w:bottom w:w="3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666666"/>
                <w:sz w:val="32"/>
              </w:rPr>
              <w:t>→</w:t>
            </w:r>
          </w:p>
        </w:tc>
        <w:tc>
          <w:tcPr>
            <w:tcW w:w="1735" w:type="dxa"/>
            <w:shd w:fill="FFF3E0" w:val="clear"/>
            <w:tcMar>
              <w:top w:w="35" w:type="dxa"/>
              <w:bottom w:w="3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8"/>
              </w:rPr>
              <w:t>Pit 발생 +</w:t>
              <w:br/>
              <w:t>H⁰ 축적</w:t>
            </w:r>
          </w:p>
        </w:tc>
        <w:tc>
          <w:tcPr>
            <w:tcW w:w="1735" w:type="dxa"/>
            <w:shd w:fill="F7F9FC" w:val="clear"/>
            <w:tcMar>
              <w:top w:w="35" w:type="dxa"/>
              <w:bottom w:w="3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666666"/>
                <w:sz w:val="32"/>
              </w:rPr>
              <w:t>→</w:t>
            </w:r>
          </w:p>
        </w:tc>
        <w:tc>
          <w:tcPr>
            <w:tcW w:w="1735" w:type="dxa"/>
            <w:shd w:fill="DCEEFB" w:val="clear"/>
            <w:tcMar>
              <w:top w:w="35" w:type="dxa"/>
              <w:bottom w:w="3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SCC/HE</w:t>
              <w:br/>
              <w:t>파단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방지 대책 및 설계 기준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(Prevention &amp; KDS 14 20:2024)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587"/>
        <w:gridCol w:w="2835"/>
        <w:gridCol w:w="4734"/>
      </w:tblGrid>
      <w:tr>
        <w:tc>
          <w:tcPr>
            <w:tcW w:w="1587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대책 구분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내용</w:t>
            </w:r>
          </w:p>
        </w:tc>
        <w:tc>
          <w:tcPr>
            <w:tcW w:w="4734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KDS 관련 조항</w:t>
            </w:r>
          </w:p>
        </w:tc>
      </w:tr>
      <w:tr>
        <w:tc>
          <w:tcPr>
            <w:tcW w:w="158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재료 선정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저릴랙세이션 강연선 사용</w:t>
              <w:br/>
              <w:t>pH 12.5 이상 유지 가능 그라우트</w:t>
            </w:r>
          </w:p>
        </w:tc>
        <w:tc>
          <w:tcPr>
            <w:tcW w:w="473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14 20 50</w:t>
              <w:br/>
              <w:t>(PS 강재 품질 규정)</w:t>
            </w:r>
          </w:p>
        </w:tc>
      </w:tr>
      <w:tr>
        <w:tc>
          <w:tcPr>
            <w:tcW w:w="1587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시공 관리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진공 그라우팅으로 Void 제거</w:t>
              <w:br/>
              <w:t>방청유(VPI) 적용 및 습윤 관리</w:t>
            </w:r>
          </w:p>
        </w:tc>
        <w:tc>
          <w:tcPr>
            <w:tcW w:w="4734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14 20 54</w:t>
              <w:br/>
              <w:t>(그라우팅 시공 기준)</w:t>
            </w:r>
          </w:p>
        </w:tc>
      </w:tr>
      <w:tr>
        <w:tc>
          <w:tcPr>
            <w:tcW w:w="158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구조 설계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응력 제한: 0.80fpy, 0.74fpu</w:t>
              <w:br/>
              <w:t>부재 균열폭 제한 (0.2mm 이하)</w:t>
            </w:r>
          </w:p>
        </w:tc>
        <w:tc>
          <w:tcPr>
            <w:tcW w:w="473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14 20 30</w:t>
              <w:br/>
              <w:t>(허용응력 설계)</w:t>
            </w:r>
          </w:p>
        </w:tc>
      </w:tr>
      <w:tr>
        <w:tc>
          <w:tcPr>
            <w:tcW w:w="1587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유지 관리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전위차 측정(Half-cell)</w:t>
              <w:br/>
              <w:t>잔류 Cl⁻ 정량 분석</w:t>
            </w:r>
          </w:p>
        </w:tc>
        <w:tc>
          <w:tcPr>
            <w:tcW w:w="4734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시설물안전법</w:t>
              <w:br/>
              <w:t>정밀안전진단 항목</w:t>
            </w:r>
          </w:p>
        </w:tc>
      </w:tr>
    </w:tbl>
    <w:p>
      <w:pPr>
        <w:spacing w:before="80" w:after="40" w:line="312" w:lineRule="auto"/>
        <w:ind w:left="227"/>
      </w:pPr>
      <w:r>
        <w:rPr>
          <w:rFonts w:ascii="Arial" w:hAnsi="Arial" w:eastAsia="Arial"/>
          <w:b/>
          <w:i w:val="0"/>
          <w:color w:val="D48B0B"/>
          <w:sz w:val="18"/>
        </w:rPr>
        <w:t xml:space="preserve">▶ </w:t>
      </w:r>
      <w:r>
        <w:rPr>
          <w:rFonts w:ascii="Malgun Gothic" w:hAnsi="Malgun Gothic" w:eastAsia="Malgun Gothic"/>
          <w:b/>
          <w:i w:val="0"/>
          <w:color w:val="1B2A4A"/>
          <w:sz w:val="18"/>
        </w:rPr>
        <w:t xml:space="preserve">핵심 원칙: </w:t>
      </w:r>
      <w:r>
        <w:rPr>
          <w:rFonts w:ascii="Malgun Gothic" w:hAnsi="Malgun Gothic" w:eastAsia="Malgun Gothic"/>
          <w:b w:val="0"/>
          <w:i w:val="0"/>
          <w:color w:val="333333"/>
          <w:sz w:val="18"/>
        </w:rPr>
        <w:t>수소 공급 차단(그라우트 충전) + 부식 환경 제거(pH 관리) = 이중 방어 전략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5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 (17년):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PSC 교량 텐던 파단 사고의 80% 이상이 그라우트 미충전 구간에서 발생. 시공 단계의 그라우팅 품질 관리가 사후 보수보다 경제적·구조적으로 압도적 우위.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설계 착안점: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단순히 강재 강도를 높이는 것이 아닌, 부식 환경과의 상호작용을 고려한 내구성 설계가 기술사의 핵심 판단임.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2024 KDS는 외부 텐던의 교체 가능 설계를 권장하며, Electrically Isolated Tendon(전기절연 텐던) 기술이 해외에서 확산 추세.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Stress Corrosion Cracking (SCC)  |  Hydrogen Embrittlement (HE)  |  K_ISCC  |  pH 12.5  |  Void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반드시 포함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① SCC와 HE의 메커니즘 차이(양극용해 vs 수소침투)  ② 고강도 강재의 취약성(fpu≥1,860MPa)  ③ 그라우트 충전의 결정적 중요성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유사 기출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• 115회 1-9 (PS 강재 부식)  • 122회 2-4 (그라우팅 품질)  • 128회 1-7 (내구성 설계)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SCC/HE 메커니즘의 '화학적 차이'를 명확히 구분하는 답안이 고득점의 관건. 삽도에서 H⁰ 침투 경로를 반드시 표현할 것.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2번  |  PS Steel SCC &amp; Delayed Fracture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