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슬래브의 균열율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(Definition — Crack Ratio vs. Crack Width)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균열율(Crack Ratio) 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슬래브 전체 면적 대비 균열이 분포하는 면적의 비율로, </w:t>
      </w:r>
      <w:r>
        <w:rPr>
          <w:rFonts w:ascii="Malgun Gothic" w:hAnsi="Malgun Gothic" w:eastAsia="Malgun Gothic"/>
          <w:b/>
          <w:i w:val="0"/>
          <w:color w:val="C0392B"/>
          <w:sz w:val="20"/>
        </w:rPr>
        <w:t>RC 슬래브의 열화 정도를 정량 평가하는 지표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②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균열폭(Crack Width)과의 차이: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균열폭은 '개별 균열의 크기(mm)'를 측정하는 반면, 균열율은 '부재 전체의 균열 분포 밀도(m/m²)'를 평가함.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③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적용 목적: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 구조물의 내구성 평가, 보수·보강 판정, 정밀안전진단 시 정량적 등급 산정에 활용.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균열율 산정 방법 및 등급 기준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(Measurement &amp; Grading)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산정식: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6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균열율 = Σ(균열 길이 × 균열 폭) / 조사 면적  </w:t>
      </w:r>
      <w:r>
        <w:rPr>
          <w:rFonts w:ascii="Arial" w:hAnsi="Arial" w:eastAsia="Arial"/>
          <w:b/>
          <w:i w:val="0"/>
          <w:color w:val="4A6FA5"/>
          <w:sz w:val="18"/>
        </w:rPr>
        <w:t>[단위: m/m²]</w:t>
      </w:r>
    </w:p>
    <w:p>
      <w:pPr>
        <w:spacing w:before="6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247"/>
        <w:gridCol w:w="1814"/>
        <w:gridCol w:w="1814"/>
        <w:gridCol w:w="4280"/>
      </w:tblGrid>
      <w:tr>
        <w:tc>
          <w:tcPr>
            <w:tcW w:w="124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등급</w:t>
            </w:r>
          </w:p>
        </w:tc>
        <w:tc>
          <w:tcPr>
            <w:tcW w:w="181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균열율 (m/m²)</w:t>
            </w:r>
          </w:p>
        </w:tc>
        <w:tc>
          <w:tcPr>
            <w:tcW w:w="181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균열폭 범위</w:t>
            </w:r>
          </w:p>
        </w:tc>
        <w:tc>
          <w:tcPr>
            <w:tcW w:w="4280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상태 평가</w:t>
            </w:r>
          </w:p>
        </w:tc>
      </w:tr>
      <w:tr>
        <w:tc>
          <w:tcPr>
            <w:tcW w:w="124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A (양호)</w:t>
            </w:r>
          </w:p>
        </w:tc>
        <w:tc>
          <w:tcPr>
            <w:tcW w:w="181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0.1 이하</w:t>
            </w:r>
          </w:p>
        </w:tc>
        <w:tc>
          <w:tcPr>
            <w:tcW w:w="181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0.1mm 이하</w:t>
            </w:r>
          </w:p>
        </w:tc>
        <w:tc>
          <w:tcPr>
            <w:tcW w:w="4280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경미한 표면 균열, 보수 불요</w:t>
            </w:r>
          </w:p>
        </w:tc>
      </w:tr>
      <w:tr>
        <w:tc>
          <w:tcPr>
            <w:tcW w:w="124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B (보통)</w:t>
            </w:r>
          </w:p>
        </w:tc>
        <w:tc>
          <w:tcPr>
            <w:tcW w:w="181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0.1 ~ 0.3</w:t>
            </w:r>
          </w:p>
        </w:tc>
        <w:tc>
          <w:tcPr>
            <w:tcW w:w="181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0.1 ~ 0.2mm</w:t>
            </w:r>
          </w:p>
        </w:tc>
        <w:tc>
          <w:tcPr>
            <w:tcW w:w="4280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경미한 열화, 관찰 필요</w:t>
            </w:r>
          </w:p>
        </w:tc>
      </w:tr>
      <w:tr>
        <w:tc>
          <w:tcPr>
            <w:tcW w:w="124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C (주의)</w:t>
            </w:r>
          </w:p>
        </w:tc>
        <w:tc>
          <w:tcPr>
            <w:tcW w:w="181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0.3 ~ 0.5</w:t>
            </w:r>
          </w:p>
        </w:tc>
        <w:tc>
          <w:tcPr>
            <w:tcW w:w="181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0.2 ~ 0.3mm</w:t>
            </w:r>
          </w:p>
        </w:tc>
        <w:tc>
          <w:tcPr>
            <w:tcW w:w="4280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진행성 균열, 보수 권고</w:t>
            </w:r>
          </w:p>
        </w:tc>
      </w:tr>
      <w:tr>
        <w:tc>
          <w:tcPr>
            <w:tcW w:w="124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D (심각)</w:t>
            </w:r>
          </w:p>
        </w:tc>
        <w:tc>
          <w:tcPr>
            <w:tcW w:w="181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0.5 ~ 1.0</w:t>
            </w:r>
          </w:p>
        </w:tc>
        <w:tc>
          <w:tcPr>
            <w:tcW w:w="181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0.3 ~ 0.5mm</w:t>
            </w:r>
          </w:p>
        </w:tc>
        <w:tc>
          <w:tcPr>
            <w:tcW w:w="4280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구조적 열화, 보수·보강 필요</w:t>
            </w:r>
          </w:p>
        </w:tc>
      </w:tr>
      <w:tr>
        <w:tc>
          <w:tcPr>
            <w:tcW w:w="124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E (위험)</w:t>
            </w:r>
          </w:p>
        </w:tc>
        <w:tc>
          <w:tcPr>
            <w:tcW w:w="181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1.0 초과</w:t>
            </w:r>
          </w:p>
        </w:tc>
        <w:tc>
          <w:tcPr>
            <w:tcW w:w="181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0.5mm 초과</w:t>
            </w:r>
          </w:p>
        </w:tc>
        <w:tc>
          <w:tcPr>
            <w:tcW w:w="4280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긴급 조치, 사용 제한 검토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균열 발생 원인 분류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(Classification of Crack Causes)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417"/>
        <w:gridCol w:w="2268"/>
        <w:gridCol w:w="5471"/>
      </w:tblGrid>
      <w:tr>
        <w:tc>
          <w:tcPr>
            <w:tcW w:w="141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 분</w:t>
            </w:r>
          </w:p>
        </w:tc>
        <w:tc>
          <w:tcPr>
            <w:tcW w:w="2268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원  인</w:t>
            </w:r>
          </w:p>
        </w:tc>
        <w:tc>
          <w:tcPr>
            <w:tcW w:w="547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  징</w:t>
            </w:r>
          </w:p>
        </w:tc>
      </w:tr>
      <w:tr>
        <w:tc>
          <w:tcPr>
            <w:tcW w:w="141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하중 균열</w:t>
              <w:br/>
              <w:t>(Structural)</w:t>
            </w:r>
          </w:p>
        </w:tc>
        <w:tc>
          <w:tcPr>
            <w:tcW w:w="226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휨, 전단, 비틀림</w:t>
              <w:br/>
              <w:t>과하중, 피로 하중</w:t>
            </w:r>
          </w:p>
        </w:tc>
        <w:tc>
          <w:tcPr>
            <w:tcW w:w="547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하중 방향과 직교 발생</w:t>
              <w:br/>
              <w:t>균열폭이 하중에 비례 증감</w:t>
            </w:r>
          </w:p>
        </w:tc>
      </w:tr>
      <w:tr>
        <w:tc>
          <w:tcPr>
            <w:tcW w:w="141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비하중 균열</w:t>
              <w:br/>
              <w:t>(Non-structural)</w:t>
            </w:r>
          </w:p>
        </w:tc>
        <w:tc>
          <w:tcPr>
            <w:tcW w:w="226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건조수축, 온도변화</w:t>
              <w:br/>
              <w:t>소성수축, 자기수축</w:t>
            </w:r>
          </w:p>
        </w:tc>
        <w:tc>
          <w:tcPr>
            <w:tcW w:w="547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 양생 시 주로 발생</w:t>
              <w:br/>
              <w:t>불규칙 패턴, 면 전체 분포</w:t>
            </w:r>
          </w:p>
        </w:tc>
      </w:tr>
      <w:tr>
        <w:tc>
          <w:tcPr>
            <w:tcW w:w="141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내구성 균열</w:t>
              <w:br/>
              <w:t>(Durability)</w:t>
            </w:r>
          </w:p>
        </w:tc>
        <w:tc>
          <w:tcPr>
            <w:tcW w:w="226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염해, 탄산화, ASR</w:t>
              <w:br/>
              <w:t>동결융해, 철근 부식</w:t>
            </w:r>
          </w:p>
        </w:tc>
        <w:tc>
          <w:tcPr>
            <w:tcW w:w="547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 → 열화 가속 악순환</w:t>
              <w:br/>
              <w:t>박리·층상·부식 동반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환경 조건별 허용 균열폭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(Allowable Crack Width / KDS 14 20)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1701"/>
        <w:gridCol w:w="1701"/>
        <w:gridCol w:w="3770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노출 환경</w:t>
            </w:r>
          </w:p>
        </w:tc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허용 균열폭</w:t>
              <w:br/>
              <w:t>(일반)</w:t>
            </w:r>
          </w:p>
        </w:tc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허용 균열폭</w:t>
              <w:br/>
              <w:t>(PS부재)</w:t>
            </w:r>
          </w:p>
        </w:tc>
        <w:tc>
          <w:tcPr>
            <w:tcW w:w="3770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 고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건조 환경</w:t>
              <w:br/>
              <w:t>(실내, 보호)</w:t>
            </w:r>
          </w:p>
        </w:tc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0.4 mm</w:t>
            </w:r>
          </w:p>
        </w:tc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0.2 mm</w:t>
            </w:r>
          </w:p>
        </w:tc>
        <w:tc>
          <w:tcPr>
            <w:tcW w:w="3770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미관 위주 기준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습윤 환경</w:t>
              <w:br/>
              <w:t>(외기 노출)</w:t>
            </w:r>
          </w:p>
        </w:tc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0.3 mm</w:t>
            </w:r>
          </w:p>
        </w:tc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비균열 허용</w:t>
              <w:br/>
              <w:t>(감압 시 0.2)</w:t>
            </w:r>
          </w:p>
        </w:tc>
        <w:tc>
          <w:tcPr>
            <w:tcW w:w="3770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내구성 지배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부식 환경</w:t>
              <w:br/>
              <w:t>(해안·제설)</w:t>
            </w:r>
          </w:p>
        </w:tc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0.2 mm</w:t>
            </w:r>
          </w:p>
        </w:tc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비균열</w:t>
            </w:r>
          </w:p>
        </w:tc>
        <w:tc>
          <w:tcPr>
            <w:tcW w:w="3770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염소이온 침투 지배</w:t>
              <w:br/>
              <w:t>KDS 14 20 40 준수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수밀 구조</w:t>
              <w:br/>
              <w:t>(수조·터널)</w:t>
            </w:r>
          </w:p>
        </w:tc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0.2 mm</w:t>
            </w:r>
          </w:p>
        </w:tc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비균열</w:t>
            </w:r>
          </w:p>
        </w:tc>
        <w:tc>
          <w:tcPr>
            <w:tcW w:w="3770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누수 방지 목적</w:t>
              <w:br/>
              <w:t>w ≤ 0.1 권장</w:t>
            </w:r>
          </w:p>
        </w:tc>
      </w:tr>
    </w:tbl>
    <w:p>
      <w:pPr>
        <w:spacing w:before="80" w:after="40" w:line="312" w:lineRule="auto"/>
        <w:ind w:left="227"/>
      </w:pPr>
      <w:r>
        <w:rPr>
          <w:rFonts w:ascii="Arial" w:hAnsi="Arial" w:eastAsia="Arial"/>
          <w:b/>
          <w:i w:val="0"/>
          <w:color w:val="D48B0B"/>
          <w:sz w:val="18"/>
        </w:rPr>
        <w:t xml:space="preserve">▶ </w:t>
      </w:r>
      <w:r>
        <w:rPr>
          <w:rFonts w:ascii="Malgun Gothic" w:hAnsi="Malgun Gothic" w:eastAsia="Malgun Gothic"/>
          <w:b/>
          <w:i w:val="0"/>
          <w:color w:val="1B2A4A"/>
          <w:sz w:val="18"/>
        </w:rPr>
        <w:t xml:space="preserve">핵심 원칙: </w:t>
      </w:r>
      <w:r>
        <w:rPr>
          <w:rFonts w:ascii="Malgun Gothic" w:hAnsi="Malgun Gothic" w:eastAsia="Malgun Gothic"/>
          <w:b w:val="0"/>
          <w:i w:val="0"/>
          <w:color w:val="333333"/>
          <w:sz w:val="18"/>
        </w:rPr>
        <w:t>균열폭은 '개별 관리', 균열율은 '전체 건전도 평가' — 두 지표를 병행하는 것이 기술사 수준의 평가임.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 (17년):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교량 슬래브 정밀안전진단 시 균열율 산정은 필수 항목이며, D등급 이상 시 긴급 보수·보강 판정의 핵심 근거로 활용됨.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설계 착안점: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균열폭 제한만으로는 RC 슬래브의 전반적 열화를 평가할 수 없으며, 균열 '밀도'와 '패턴 분석'을 통한 원인 추정이 진단의 핵심임.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경향: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드론+AI 기반 자동 균열 검출 및 균열율 자동 산정 기술이 확산 중이며, 2024 KDS에서는 디지털 진단 도구의 활용을 권장하고 있음.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균열율(Crack Ratio)  |  균열폭(Crack Width)  |  m/m²  |  등급 판정  |  KDS 14 20 40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반드시 포함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① 균열율 정의 및 산정식  ② 균열폭과의 개념적 차이  ③ 환경별 허용 균열폭 표(최소 3개 환경)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유사 기출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110회 1-3 (균열폭 제한)  • 118회 2-6 (내구성 설계)  • 130회 1-5 (슬래브 진단)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균열율과 균열폭의 '차이점'을 명확히 구분하고, 환경별 허용 균열폭 표를 삽도로 제시하면 고득점 확보.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3번  |  RC Slab Crack Ratio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