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강구조물에서 부재의 면외좌굴 (Out-of-plane Buckling)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(Definition — In-plane vs. Out-of-plane)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면외좌굴 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부재에 작용하는 하중 평면(재하면)을 벗어나 </w:t>
      </w:r>
      <w:r>
        <w:rPr>
          <w:rFonts w:ascii="Malgun Gothic" w:hAnsi="Malgun Gothic" w:eastAsia="Malgun Gothic"/>
          <w:b/>
          <w:i w:val="0"/>
          <w:color w:val="C0392B"/>
          <w:sz w:val="20"/>
        </w:rPr>
        <w:t>약축(Weak Axis) 방향으로 횡방향 변위가 발생하는 불안정 현상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②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면내좌굴과의 차이: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면내좌굴(In-plane)은 하중 작용면 내에서 발생하며, 부재의 강축(Strong Axis)이 지배. 면외좌굴은 약축 방향으로 발생하므로 단면 2차모멘트(I_y)가 작은 부재에서 치명적.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③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설계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6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 xml:space="preserve">횡비틀림좌굴(LTB) 방지를 위한 </w:t>
      </w:r>
      <w:r>
        <w:rPr>
          <w:rFonts w:ascii="Malgun Gothic" w:hAnsi="Malgun Gothic" w:eastAsia="Malgun Gothic"/>
          <w:b/>
          <w:i w:val="0"/>
          <w:color w:val="1B2A4A"/>
          <w:sz w:val="20"/>
        </w:rPr>
        <w:t>횡지지(Lateral Bracing) 간격 확보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 강구조 설계의 핵심 안전 요소.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면외좌굴의 유형 분류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(Classification of Out-of-plane Buckling)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좌굴 유형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발생 메커니즘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설계 검토 사항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횡비틀림좌굴</w:t>
              <w:br/>
              <w:t>(LTB: Lateral-</w:t>
              <w:br/>
              <w:t>Torsional Buckling)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휨 부재의 압축 플랜지가</w:t>
              <w:br/>
              <w:t>약축 방향으로 횡변위 +</w:t>
              <w:br/>
              <w:t>비틀림이 동시 발생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비지지길이 L_b ≤ L_p (소성)</w:t>
              <w:br/>
              <w:t>또는 L_p &lt; L_b ≤ L_r (비탄성)</w:t>
              <w:br/>
              <w:t>KDS 14 31 25 준수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횡좌굴</w:t>
              <w:br/>
              <w:t>(Lateral Buckling)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압축재(기둥, 현재)가</w:t>
              <w:br/>
              <w:t>약축 방향으로 횡변위 발생</w:t>
              <w:br/>
              <w:t>(비틀림 미동반)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세장비 KL/r_y 검토</w:t>
              <w:br/>
              <w:t>유효좌굴길이계수 K 산정</w:t>
              <w:br/>
              <w:t>가새 배치 계획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판좌굴</w:t>
              <w:br/>
              <w:t>(Plate Buckling)</w:t>
              <w:br/>
              <w:t>— 면외 방향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얇은 복부판(Web)이</w:t>
              <w:br/>
              <w:t>면외 방향으로 파형 변형</w:t>
              <w:br/>
              <w:t>전단좌굴 포함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판폭두께비 b/t 검토</w:t>
              <w:br/>
              <w:t>보강재(Stiffener) 배치</w:t>
              <w:br/>
              <w:t>KDS 14 31 20 준수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실전 삽도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(Hand-drawable Sketch for Exam)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FFB74D"/>
          <w:left w:val="single" w:sz="6" w:space="0" w:color="FFB74D"/>
          <w:bottom w:val="single" w:sz="6" w:space="0" w:color="FFB74D"/>
          <w:right w:val="single" w:sz="6" w:space="0" w:color="FFB74D"/>
        </w:tblBorders>
      </w:tblPr>
      <w:tblGrid>
        <w:gridCol w:w="9638"/>
      </w:tblGrid>
      <w:tr>
        <w:tc>
          <w:tcPr>
            <w:tcW w:type="dxa" w:w="9638"/>
            <w:shd w:fill="FFF3E0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시험장 드로잉 전략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1) I형 거더 입면도(강축 방향) → 2) 압축 플랜지에 횡변위 화살표(←→) 표시 → 3) 비틀림 회전(↻) 표시 → 4) 횡지지점(Bracing Point) 위치에 ▲ 기호 → 5) L_b (비지지길이) 치수선 기입</w:t>
            </w:r>
          </w:p>
        </w:tc>
      </w:tr>
    </w:tbl>
    <w:p>
      <w:pPr>
        <w:spacing w:before="6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8675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35"/>
        <w:gridCol w:w="1735"/>
        <w:gridCol w:w="1735"/>
        <w:gridCol w:w="1735"/>
        <w:gridCol w:w="1735"/>
      </w:tblGrid>
      <w:tr>
        <w:tc>
          <w:tcPr>
            <w:tcW w:w="1735" w:type="dxa"/>
            <w:shd w:fill="DCEEFB" w:val="clear"/>
            <w:tcMar>
              <w:top w:w="30" w:type="dxa"/>
              <w:bottom w:w="30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B2A4A"/>
                <w:sz w:val="17"/>
              </w:rPr>
              <w:t>▲</w:t>
              <w:br/>
              <w:t>Bracing</w:t>
            </w:r>
          </w:p>
        </w:tc>
        <w:tc>
          <w:tcPr>
            <w:tcW w:w="1735" w:type="dxa"/>
            <w:shd w:fill="FFEBEE" w:val="clear"/>
            <w:tcMar>
              <w:top w:w="30" w:type="dxa"/>
              <w:bottom w:w="30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L_b</w:t>
              <w:br/>
              <w:t>(비지지구간)</w:t>
            </w:r>
          </w:p>
        </w:tc>
        <w:tc>
          <w:tcPr>
            <w:tcW w:w="1735" w:type="dxa"/>
            <w:shd w:fill="DCEEFB" w:val="clear"/>
            <w:tcMar>
              <w:top w:w="30" w:type="dxa"/>
              <w:bottom w:w="30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B2A4A"/>
                <w:sz w:val="17"/>
              </w:rPr>
              <w:t>▲</w:t>
              <w:br/>
              <w:t>Bracing</w:t>
            </w:r>
          </w:p>
        </w:tc>
        <w:tc>
          <w:tcPr>
            <w:tcW w:w="1735" w:type="dxa"/>
            <w:shd w:fill="FFEBEE" w:val="clear"/>
            <w:tcMar>
              <w:top w:w="30" w:type="dxa"/>
              <w:bottom w:w="30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392B"/>
                <w:sz w:val="17"/>
              </w:rPr>
              <w:t>L_b</w:t>
              <w:br/>
              <w:t>(비지지구간)</w:t>
            </w:r>
          </w:p>
        </w:tc>
        <w:tc>
          <w:tcPr>
            <w:tcW w:w="1735" w:type="dxa"/>
            <w:shd w:fill="DCEEFB" w:val="clear"/>
            <w:tcMar>
              <w:top w:w="30" w:type="dxa"/>
              <w:bottom w:w="30" w:type="dxa"/>
              <w:left w:w="15" w:type="dxa"/>
              <w:right w:w="1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B2A4A"/>
                <w:sz w:val="17"/>
              </w:rPr>
              <w:t>▲</w:t>
              <w:br/>
              <w:t>Bracing</w:t>
            </w:r>
          </w:p>
        </w:tc>
      </w:tr>
      <w:tr>
        <w:tc>
          <w:tcPr>
            <w:tcW w:w="8675" w:type="dxa"/>
            <w:gridSpan w:val="5"/>
            <w:tcMar>
              <w:top w:w="20" w:type="dxa"/>
              <w:bottom w:w="2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i/>
                <w:color w:val="666666"/>
                <w:sz w:val="16"/>
              </w:rPr>
              <w:t>L_b ≤ L_p: 소성모멘트 확보  |  L_p &lt; L_b ≤ L_r: 비탄성 LTB  |  L_b &gt; L_r: 탄성 LTB</w:t>
            </w:r>
          </w:p>
        </w:tc>
      </w:tr>
    </w:tbl>
    <w:p>
      <w:pPr>
        <w:spacing w:before="40" w:after="40" w:line="240" w:lineRule="auto"/>
        <w:jc w:val="right"/>
      </w:pPr>
      <w:r>
        <w:rPr>
          <w:rFonts w:ascii="Malgun Gothic" w:hAnsi="Malgun Gothic" w:eastAsia="Malgun Gothic"/>
          <w:b w:val="0"/>
          <w:i/>
          <w:color w:val="666666"/>
          <w:sz w:val="16"/>
        </w:rPr>
        <w:t>※ LTB = Lateral-Torsional Buckling  |  L_b = 비지지길이  |  L_p, L_r = 한계 길이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횡지지(Lateral Bracing) 설계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(Bracing Requirements / KDS 14 31)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587"/>
        <w:gridCol w:w="2835"/>
        <w:gridCol w:w="4734"/>
      </w:tblGrid>
      <w:tr>
        <w:tc>
          <w:tcPr>
            <w:tcW w:w="158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가새 유형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  징</w:t>
            </w:r>
          </w:p>
        </w:tc>
        <w:tc>
          <w:tcPr>
            <w:tcW w:w="473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설계 요구사항</w:t>
            </w:r>
          </w:p>
        </w:tc>
      </w:tr>
      <w:tr>
        <w:tc>
          <w:tcPr>
            <w:tcW w:w="158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상대 가새</w:t>
              <w:br/>
              <w:t>(Relative Bracing)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인접 지점 간의 상대 변위를</w:t>
              <w:br/>
              <w:t>억제하는 가새 시스템</w:t>
              <w:br/>
              <w:t>(X-bracing, K-bracing 등)</w:t>
            </w:r>
          </w:p>
        </w:tc>
        <w:tc>
          <w:tcPr>
            <w:tcW w:w="473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β_br ≥ 2M_r C_b / (L_b h_o)</w:t>
              <w:br/>
              <w:t>가새 강성 + 강도 동시 확보</w:t>
            </w:r>
          </w:p>
        </w:tc>
      </w:tr>
      <w:tr>
        <w:tc>
          <w:tcPr>
            <w:tcW w:w="158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절점 가새</w:t>
              <w:br/>
              <w:t>(Nodal Bracing)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개별 지점의 절대 변위를</w:t>
              <w:br/>
              <w:t>억제하는 가새</w:t>
              <w:br/>
              <w:t>(횡보, 다이아프램 등)</w:t>
            </w:r>
          </w:p>
        </w:tc>
        <w:tc>
          <w:tcPr>
            <w:tcW w:w="473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β_br ≥ 4M_r C_b / (L_b h_o)</w:t>
              <w:br/>
              <w:t>절점 가새는 2배 강성 필요</w:t>
            </w:r>
          </w:p>
        </w:tc>
      </w:tr>
      <w:tr>
        <w:tc>
          <w:tcPr>
            <w:tcW w:w="158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연속 가새</w:t>
              <w:br/>
              <w:t>(Continuous Bracing)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바닥판, 데크 등이 연속적으로</w:t>
              <w:br/>
              <w:t>압축 플랜지를 구속</w:t>
            </w:r>
          </w:p>
        </w:tc>
        <w:tc>
          <w:tcPr>
            <w:tcW w:w="473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바닥판-플랜지 합성 검토</w:t>
              <w:br/>
              <w:t>전단연결재 강도 확인</w:t>
            </w:r>
          </w:p>
        </w:tc>
      </w:tr>
    </w:tbl>
    <w:p>
      <w:pPr>
        <w:spacing w:before="80" w:after="40" w:line="312" w:lineRule="auto"/>
        <w:ind w:left="227"/>
      </w:pPr>
      <w:r>
        <w:rPr>
          <w:rFonts w:ascii="Arial" w:hAnsi="Arial" w:eastAsia="Arial"/>
          <w:b/>
          <w:i w:val="0"/>
          <w:color w:val="D48B0B"/>
          <w:sz w:val="18"/>
        </w:rPr>
        <w:t xml:space="preserve">▶ </w:t>
      </w:r>
      <w:r>
        <w:rPr>
          <w:rFonts w:ascii="Malgun Gothic" w:hAnsi="Malgun Gothic" w:eastAsia="Malgun Gothic"/>
          <w:b/>
          <w:i w:val="0"/>
          <w:color w:val="1B2A4A"/>
          <w:sz w:val="18"/>
        </w:rPr>
        <w:t xml:space="preserve">핵심 원칙: </w:t>
      </w:r>
      <w:r>
        <w:rPr>
          <w:rFonts w:ascii="Malgun Gothic" w:hAnsi="Malgun Gothic" w:eastAsia="Malgun Gothic"/>
          <w:b w:val="0"/>
          <w:i w:val="0"/>
          <w:color w:val="333333"/>
          <w:sz w:val="18"/>
        </w:rPr>
        <w:t>가새의 '강성(Stiffness)'과 '강도(Strength)'를 동시에 만족해야 유효한 횡지지 — 어느 하나만으로는 좌굴 방지 불가</w:t>
      </w:r>
    </w:p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 (17년):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강교량 면외좌굴 사고의 대부분은 가새(Bracing) 자체의 파단이 아니라, '가새 접합부(Connection)'의 볼트 파단·용접 결함에서 기인함. 접합부 설계가 가새 설계 이상으로 중요.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설계 착안점: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거더 가설(Erection) 단계에서 바닥판 미합성 상태의 LTB가 가장 위험한 시나리오. 시공 중 임시 가새 계획을 설계 단계에서 반드시 수립해야 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경향: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31(2024)에서는 가새의 강성·강도 요구사항을 별도 조항으로 명시하고 있으며, 비선형 좌굴 해석(Eigenvalue Analysis)을 통한 검증을 권장.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LTB (Lateral-Torsional Buckling)  |  L_b (비지지길이)  |  Lateral Bracing  |  KL/r_y  |  면외좌굴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반드시 포함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① 면내/면외좌굴 구분 (강축 vs 약축)  ② LTB 3구간 (소성/비탄성/탄성)  ③ 가새의 강성+강도 동시 요구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유사 기출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• 109회 1-7 (LTB)  • 116회 2-5 (가새 설계)  • 124회 1-3 (좌굴 안정성)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삽도에서 I형 거더의 압축 플랜지 횡변위 + 비틀림을 동시에 표현하고, 비지지길이 L_b 구간을 명확히 표기하면 확실한 차별화.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5번  |  Out-of-plane Buckling &amp; LTB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