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108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11.  </w:t>
            </w:r>
            <w:r>
              <w:rPr>
                <w:rFonts w:ascii="Malgun Gothic" w:hAnsi="Malgun Gothic" w:eastAsia="Malgun Gothic"/>
                <w:b/>
                <w:i w:val="0"/>
                <w:color w:val="0D1B2A"/>
                <w:sz w:val="24"/>
              </w:rPr>
              <w:t>구조용부재로중공단면이나개단면을사용하는이유를아래단면을예로들어 설명하시오. &lt;충실단면&gt; 120cm120cm 120cm10cm 100cm10cm &lt;중공단면&gt;100cm10cm 10cm120cm &lt;H형단면&gt;55cm 10cm55cm120cm 120cm10cm 100cm10cm</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구조용부재로중공단면이나개단면을사용하는이유를아래단면을예로들어 설명하시오. &lt;충실단면&gt; 120cm120cm 120cm10cm 100cm10cm &lt;중공단면&gt;100cm10cm 10cm120cm &lt;H형단면&gt;55cm 10cm55cm120cm 120cm10cm 100cm10cm에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제108회 토목구조기술사  |  1교시 11번  |  구조용부재로중공단면이나개단면을사용하는이유를아래단면을예로들어 설명하시오. &lt;충실단면&gt; 120cm120cm 120cm10cm 100cm10cm &lt;중공단면&gt;100cm10cm 10cm120cm &lt;H형단면&gt;55cm 10cm55cm120cm 120cm10cm 100cm10cm</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