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108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1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2</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2.  </w:t>
            </w:r>
            <w:r>
              <w:rPr>
                <w:rFonts w:ascii="Malgun Gothic" w:hAnsi="Malgun Gothic" w:eastAsia="Malgun Gothic"/>
                <w:b/>
                <w:i w:val="0"/>
                <w:color w:val="0D1B2A"/>
                <w:sz w:val="24"/>
              </w:rPr>
              <w:t>단경간곡선교를계획할경우주안점과바람직한해결책에대하여설명하시오.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단경간곡선교를계획할경우주안점과바람직한해결책에대하여설명하시오.에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제108회 토목구조기술사  |  1교시 2번  |  단경간곡선교를계획할경우주안점과바람직한해결책에대하여설명하시오.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