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7</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7.  </w:t>
            </w:r>
            <w:r>
              <w:rPr>
                <w:rFonts w:ascii="Malgun Gothic" w:hAnsi="Malgun Gothic" w:eastAsia="Malgun Gothic"/>
                <w:b/>
                <w:i w:val="0"/>
                <w:color w:val="0D1B2A"/>
                <w:sz w:val="24"/>
              </w:rPr>
              <w:t>프리캐스트콘크리트바닥판을사용한교량의특징및향후과제에대하여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프리캐스트콘크리트바닥판을사용한교량의특징및향후과제에대하여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제108회 토목구조기술사  |  1교시 7번  |  프리캐스트콘크리트바닥판을사용한교량의특징및향후과제에대하여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