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사장교와현수교의주요부재별응력분포를도시하고,사장교가지간장의한계를 가지는이유에대하여설명하시오.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사장교와현수교의주요부재별응력분포를도시하고,사장교가지간장의한계를 가지는이유에대하여설명하시오.에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2교시 2번  |  사장교와현수교의주요부재별응력분포를도시하고,사장교가지간장의한계를 가지는이유에대하여설명하시오.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