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108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다음강합성박스거더의잭업보강재에대한안전성을검토하시오. 사용강종:SM490,보강재의압축응력할증25%, 최대지점반력:(자중반력)=1400.0kN, (활하중반력)=1600.0kN 하중조합: 보강재의두께:=20.0mm,Web두께:=16.0...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다음강합성박스거더의잭업보강재에대한안전성을검토하시오. 사용강종:SM490,보강재의압축응력할증25%, 최대지점반력:(자중반력)=1400.0kN, (활하중반력)=1600.0kN 하중조합: 보강재의두께:=20.0mm,Web두께:=16.0...에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제108회 토목구조기술사  |  3교시 6번  |  다음강합성박스거더의잭업보강재에대한안전성을검토하시오. 사용강종:SM490,보강재의압축응력할증25%, 최대지점반력:(자중반력)=1400.0kN, (활하중반력)=1600.0kN 하중조합: 보강재의두께:=20.0mm,Web두께:=16.0...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