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다음그림과같은교량의설계조건을고려할때,한계상태설계법에의한하중조합 극한한계상태Ⅰ,Ⅳ에대한캔틸레버부의필요휨철근량을구하시오. &lt;설계조건&gt; MPa,MPa,폭b=1,000mm,유효높이d=470mm, (1),(2),(3)의콘크리트단위중량=25kN/m3,(...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다음그림과같은교량의설계조건을고려할때,한계상태설계법에의한하중조합 극한한계상태Ⅰ,Ⅳ에대한캔틸레버부의필요휨철근량을구하시오. &lt;설계조건&gt; MPa,MPa,폭b=1,000mm,유효높이d=470mm, (1),(2),(3)의콘크리트단위중량=25kN/m3,(...에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4교시 3번  |  다음그림과같은교량의설계조건을고려할때,한계상태설계법에의한하중조합 극한한계상태Ⅰ,Ⅳ에대한캔틸레버부의필요휨철근량을구하시오. &lt;설계조건&gt; MPa,MPa,폭b=1,000mm,유효높이d=470mm, (1),(2),(3)의콘크리트단위중량=25kN/m3,(...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